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heme="minorHAnsi" w:hAnsiTheme="minorHAnsi"/>
        </w:rPr>
      </w:pPr>
    </w:p>
    <w:tbl>
      <w:tblPr>
        <w:tblpPr w:leftFromText="180" w:rightFromText="180" w:vertAnchor="page" w:horzAnchor="margin" w:tblpY="1801"/>
        <w:tblW w:w="0" w:type="auto"/>
        <w:tblLook w:val="04A0" w:firstRow="1" w:lastRow="0" w:firstColumn="1" w:lastColumn="0" w:noHBand="0" w:noVBand="1"/>
      </w:tblPr>
      <w:tblGrid>
        <w:gridCol w:w="4861"/>
        <w:gridCol w:w="10"/>
        <w:gridCol w:w="262"/>
      </w:tblGrid>
      <w:tr>
        <w:trPr>
          <w:trHeight w:hRule="exact" w:val="1997"/>
        </w:trPr>
        <w:tc>
          <w:tcPr>
            <w:tcW w:w="4811" w:type="dxa"/>
            <w:gridSpan w:val="2"/>
          </w:tcPr>
          <w:p>
            <w:pPr>
              <w:jc w:val="left"/>
              <w:rPr>
                <w:rFonts w:asciiTheme="minorHAnsi" w:hAnsiTheme="minorHAnsi"/>
                <w:color w:val="002060"/>
                <w:sz w:val="16"/>
                <w:szCs w:val="16"/>
              </w:rPr>
            </w:pPr>
          </w:p>
          <w:p>
            <w:pPr>
              <w:jc w:val="left"/>
              <w:rPr>
                <w:rFonts w:asciiTheme="minorHAnsi" w:hAnsiTheme="minorHAnsi"/>
                <w:color w:val="002060"/>
                <w:sz w:val="18"/>
                <w:szCs w:val="18"/>
              </w:rPr>
            </w:pPr>
            <w:r>
              <w:rPr>
                <w:rFonts w:asciiTheme="minorHAnsi" w:hAnsiTheme="minorHAnsi"/>
                <w:color w:val="002060"/>
                <w:sz w:val="18"/>
                <w:szCs w:val="18"/>
              </w:rPr>
              <w:t xml:space="preserve">Научно-производственное объединение «ЭЛСИБ» </w:t>
            </w:r>
          </w:p>
          <w:p>
            <w:pPr>
              <w:jc w:val="left"/>
              <w:rPr>
                <w:rFonts w:asciiTheme="minorHAnsi" w:hAnsiTheme="minorHAnsi"/>
                <w:color w:val="002060"/>
                <w:sz w:val="18"/>
                <w:szCs w:val="18"/>
              </w:rPr>
            </w:pPr>
            <w:r>
              <w:rPr>
                <w:rFonts w:asciiTheme="minorHAnsi" w:hAnsiTheme="minorHAnsi"/>
                <w:color w:val="002060"/>
                <w:sz w:val="18"/>
                <w:szCs w:val="18"/>
              </w:rPr>
              <w:t>публичное акционерное общество (НПО «ЭЛСИБ» ПАО)</w:t>
            </w:r>
          </w:p>
          <w:p>
            <w:pPr>
              <w:rPr>
                <w:rFonts w:asciiTheme="minorHAnsi" w:hAnsiTheme="minorHAnsi"/>
                <w:color w:val="002060"/>
                <w:sz w:val="18"/>
                <w:szCs w:val="18"/>
              </w:rPr>
            </w:pPr>
            <w:r>
              <w:rPr>
                <w:rFonts w:asciiTheme="minorHAnsi" w:hAnsiTheme="minorHAnsi"/>
                <w:color w:val="002060"/>
                <w:sz w:val="18"/>
                <w:szCs w:val="18"/>
              </w:rPr>
              <w:t>ул. Сибиряков-Гвардейцев, 56</w:t>
            </w:r>
          </w:p>
          <w:p>
            <w:pPr>
              <w:rPr>
                <w:rFonts w:asciiTheme="minorHAnsi" w:hAnsiTheme="minorHAnsi"/>
                <w:color w:val="002060"/>
                <w:sz w:val="18"/>
                <w:szCs w:val="18"/>
              </w:rPr>
            </w:pPr>
            <w:r>
              <w:rPr>
                <w:rFonts w:asciiTheme="minorHAnsi" w:hAnsiTheme="minorHAnsi"/>
                <w:color w:val="002060"/>
                <w:sz w:val="18"/>
                <w:szCs w:val="18"/>
              </w:rPr>
              <w:t>г. Новосибирск, Россия, 630088</w:t>
            </w:r>
          </w:p>
          <w:p>
            <w:pPr>
              <w:rPr>
                <w:rFonts w:asciiTheme="minorHAnsi" w:hAnsiTheme="minorHAnsi"/>
                <w:color w:val="002060"/>
                <w:sz w:val="18"/>
                <w:szCs w:val="18"/>
              </w:rPr>
            </w:pPr>
            <w:r>
              <w:rPr>
                <w:rFonts w:asciiTheme="minorHAnsi" w:hAnsiTheme="minorHAnsi"/>
                <w:color w:val="002060"/>
                <w:sz w:val="18"/>
                <w:szCs w:val="18"/>
              </w:rPr>
              <w:t>тел. +7 (383) 298-92-80, факс (383) 298-92-94</w:t>
            </w:r>
          </w:p>
          <w:p>
            <w:pPr>
              <w:rPr>
                <w:rFonts w:asciiTheme="minorHAnsi" w:hAnsiTheme="minorHAnsi"/>
                <w:color w:val="002060"/>
                <w:sz w:val="18"/>
                <w:szCs w:val="18"/>
              </w:rPr>
            </w:pPr>
            <w:r>
              <w:rPr>
                <w:rFonts w:asciiTheme="minorHAnsi" w:hAnsiTheme="minorHAnsi"/>
                <w:color w:val="002060"/>
                <w:sz w:val="18"/>
                <w:szCs w:val="18"/>
              </w:rPr>
              <w:t>elsib@elsib.ru, www.elsib.ru</w:t>
            </w:r>
          </w:p>
          <w:p>
            <w:pPr>
              <w:rPr>
                <w:rFonts w:asciiTheme="minorHAnsi" w:hAnsiTheme="minorHAnsi"/>
                <w:color w:val="002060"/>
                <w:sz w:val="18"/>
                <w:szCs w:val="18"/>
              </w:rPr>
            </w:pPr>
            <w:r>
              <w:rPr>
                <w:rFonts w:asciiTheme="minorHAnsi" w:hAnsiTheme="minorHAnsi"/>
                <w:color w:val="002060"/>
                <w:sz w:val="18"/>
                <w:szCs w:val="18"/>
              </w:rPr>
              <w:t>ОКПО 05757937, ОГРН 1025401300748</w:t>
            </w:r>
          </w:p>
          <w:p>
            <w:pPr>
              <w:rPr>
                <w:rFonts w:asciiTheme="minorHAnsi" w:hAnsiTheme="minorHAnsi"/>
                <w:color w:val="002060"/>
                <w:sz w:val="20"/>
                <w:szCs w:val="20"/>
                <w:lang w:val="en-US"/>
              </w:rPr>
            </w:pPr>
            <w:r>
              <w:rPr>
                <w:rFonts w:asciiTheme="minorHAnsi" w:hAnsiTheme="minorHAnsi"/>
                <w:color w:val="002060"/>
                <w:sz w:val="18"/>
                <w:szCs w:val="18"/>
              </w:rPr>
              <w:t>ИНН 5403102702, КПП 540301001</w:t>
            </w:r>
          </w:p>
        </w:tc>
        <w:tc>
          <w:tcPr>
            <w:tcW w:w="262" w:type="dxa"/>
          </w:tcPr>
          <w:p>
            <w:pPr>
              <w:rPr>
                <w:rFonts w:asciiTheme="minorHAnsi" w:hAnsiTheme="minorHAnsi"/>
              </w:rPr>
            </w:pPr>
          </w:p>
        </w:tc>
      </w:tr>
      <w:tr>
        <w:trPr>
          <w:trHeight w:hRule="exact" w:val="75"/>
        </w:trPr>
        <w:tc>
          <w:tcPr>
            <w:tcW w:w="4801" w:type="dxa"/>
          </w:tcPr>
          <w:tbl>
            <w:tblPr>
              <w:tblpPr w:leftFromText="180" w:rightFromText="180" w:vertAnchor="text" w:horzAnchor="margin" w:tblpY="75"/>
              <w:tblW w:w="4645" w:type="dxa"/>
              <w:tblLook w:val="01E0" w:firstRow="1" w:lastRow="1" w:firstColumn="1" w:lastColumn="1" w:noHBand="0" w:noVBand="0"/>
            </w:tblPr>
            <w:tblGrid>
              <w:gridCol w:w="1162"/>
              <w:gridCol w:w="1161"/>
              <w:gridCol w:w="1161"/>
              <w:gridCol w:w="1161"/>
            </w:tblGrid>
            <w:tr>
              <w:trPr>
                <w:trHeight w:hRule="exact" w:val="280"/>
              </w:trPr>
              <w:tc>
                <w:tcPr>
                  <w:tcW w:w="0" w:type="auto"/>
                </w:tcPr>
                <w:p>
                  <w:pPr>
                    <w:rPr>
                      <w:rFonts w:asciiTheme="minorHAnsi" w:hAnsiTheme="minorHAnsi"/>
                      <w:color w:val="002060"/>
                      <w:sz w:val="20"/>
                      <w:szCs w:val="20"/>
                    </w:rPr>
                  </w:pPr>
                </w:p>
              </w:tc>
              <w:tc>
                <w:tcPr>
                  <w:tcW w:w="0" w:type="auto"/>
                </w:tcPr>
                <w:p>
                  <w:pPr>
                    <w:rPr>
                      <w:rFonts w:asciiTheme="minorHAnsi" w:hAnsiTheme="minorHAnsi"/>
                      <w:color w:val="002060"/>
                      <w:sz w:val="20"/>
                      <w:szCs w:val="20"/>
                    </w:rPr>
                  </w:pPr>
                </w:p>
              </w:tc>
              <w:tc>
                <w:tcPr>
                  <w:tcW w:w="0" w:type="auto"/>
                </w:tcPr>
                <w:p>
                  <w:pPr>
                    <w:rPr>
                      <w:rFonts w:asciiTheme="minorHAnsi" w:hAnsiTheme="minorHAnsi"/>
                      <w:color w:val="002060"/>
                      <w:sz w:val="20"/>
                      <w:szCs w:val="20"/>
                    </w:rPr>
                  </w:pPr>
                </w:p>
              </w:tc>
              <w:tc>
                <w:tcPr>
                  <w:tcW w:w="0" w:type="auto"/>
                </w:tcPr>
                <w:p>
                  <w:pPr>
                    <w:rPr>
                      <w:rFonts w:asciiTheme="minorHAnsi" w:hAnsiTheme="minorHAnsi"/>
                      <w:color w:val="002060"/>
                      <w:sz w:val="20"/>
                      <w:szCs w:val="20"/>
                    </w:rPr>
                  </w:pPr>
                </w:p>
              </w:tc>
            </w:tr>
          </w:tbl>
          <w:p>
            <w:pPr>
              <w:rPr>
                <w:rFonts w:asciiTheme="minorHAnsi" w:hAnsiTheme="minorHAnsi"/>
                <w:color w:val="002060"/>
              </w:rPr>
            </w:pPr>
          </w:p>
        </w:tc>
        <w:tc>
          <w:tcPr>
            <w:tcW w:w="271" w:type="dxa"/>
            <w:gridSpan w:val="2"/>
          </w:tcPr>
          <w:p>
            <w:pPr>
              <w:rPr>
                <w:rFonts w:asciiTheme="minorHAnsi" w:hAnsiTheme="minorHAnsi"/>
              </w:rPr>
            </w:pPr>
          </w:p>
          <w:p>
            <w:pPr>
              <w:rPr>
                <w:rFonts w:asciiTheme="minorHAnsi" w:hAnsiTheme="minorHAnsi"/>
              </w:rPr>
            </w:pPr>
          </w:p>
          <w:p>
            <w:pPr>
              <w:rPr>
                <w:rFonts w:asciiTheme="minorHAnsi" w:hAnsiTheme="minorHAnsi"/>
              </w:rPr>
            </w:pPr>
          </w:p>
          <w:p>
            <w:pPr>
              <w:rPr>
                <w:rFonts w:asciiTheme="minorHAnsi" w:hAnsiTheme="minorHAnsi"/>
              </w:rPr>
            </w:pPr>
          </w:p>
          <w:p>
            <w:pPr>
              <w:rPr>
                <w:rFonts w:asciiTheme="minorHAnsi" w:hAnsiTheme="minorHAnsi"/>
              </w:rPr>
            </w:pPr>
          </w:p>
          <w:p>
            <w:pPr>
              <w:rPr>
                <w:rFonts w:asciiTheme="minorHAnsi" w:hAnsiTheme="minorHAnsi"/>
              </w:rPr>
            </w:pPr>
          </w:p>
          <w:p>
            <w:pPr>
              <w:rPr>
                <w:rFonts w:asciiTheme="minorHAnsi" w:hAnsiTheme="minorHAnsi"/>
              </w:rPr>
            </w:pPr>
          </w:p>
          <w:p>
            <w:pPr>
              <w:rPr>
                <w:rFonts w:asciiTheme="minorHAnsi" w:hAnsiTheme="minorHAnsi"/>
              </w:rPr>
            </w:pPr>
          </w:p>
          <w:p>
            <w:pPr>
              <w:rPr>
                <w:rFonts w:asciiTheme="minorHAnsi" w:hAnsiTheme="minorHAnsi"/>
              </w:rPr>
            </w:pPr>
          </w:p>
        </w:tc>
      </w:tr>
    </w:tbl>
    <w:p>
      <w:pPr>
        <w:jc w:val="right"/>
        <w:rPr>
          <w:rFonts w:asciiTheme="minorHAnsi" w:hAnsiTheme="minorHAnsi"/>
        </w:rPr>
      </w:pPr>
    </w:p>
    <w:p>
      <w:pPr>
        <w:pStyle w:val="-2"/>
        <w:tabs>
          <w:tab w:val="clear" w:pos="1134"/>
        </w:tabs>
        <w:ind w:left="0" w:firstLine="0"/>
        <w:jc w:val="center"/>
        <w:rPr>
          <w:rFonts w:asciiTheme="minorHAnsi" w:hAnsiTheme="minorHAnsi"/>
          <w:b/>
          <w:sz w:val="28"/>
          <w:szCs w:val="28"/>
        </w:rPr>
      </w:pPr>
    </w:p>
    <w:p>
      <w:pPr>
        <w:keepLines/>
        <w:spacing w:before="240" w:line="276" w:lineRule="auto"/>
        <w:jc w:val="left"/>
        <w:rPr>
          <w:rFonts w:eastAsia="Times New Roman"/>
          <w:b/>
          <w:sz w:val="24"/>
          <w:szCs w:val="24"/>
          <w:lang w:eastAsia="ru-RU"/>
        </w:rPr>
      </w:pPr>
      <w:r>
        <w:rPr>
          <w:rFonts w:eastAsia="Times New Roman"/>
          <w:b/>
          <w:sz w:val="24"/>
          <w:szCs w:val="24"/>
          <w:lang w:eastAsia="ru-RU"/>
        </w:rPr>
        <w:t xml:space="preserve">                                       ПЗ 282 от 25.04.2024 г.</w:t>
      </w:r>
    </w:p>
    <w:p>
      <w:pPr>
        <w:keepLines/>
        <w:spacing w:before="240" w:line="276" w:lineRule="auto"/>
        <w:rPr>
          <w:rFonts w:eastAsia="Times New Roman"/>
          <w:lang w:eastAsia="ru-RU"/>
        </w:rPr>
      </w:pPr>
    </w:p>
    <w:p>
      <w:pPr>
        <w:keepLines/>
        <w:spacing w:before="240" w:line="276" w:lineRule="auto"/>
        <w:jc w:val="center"/>
        <w:rPr>
          <w:rFonts w:eastAsia="Times New Roman"/>
          <w:b/>
          <w:sz w:val="28"/>
          <w:szCs w:val="28"/>
          <w:lang w:eastAsia="ru-RU"/>
        </w:rPr>
      </w:pPr>
      <w:r>
        <w:rPr>
          <w:rFonts w:eastAsia="Times New Roman"/>
          <w:b/>
          <w:sz w:val="28"/>
          <w:szCs w:val="28"/>
          <w:lang w:eastAsia="ru-RU"/>
        </w:rPr>
        <w:t>Закупочная документация</w:t>
      </w:r>
    </w:p>
    <w:p>
      <w:pPr>
        <w:keepLines/>
        <w:spacing w:before="240" w:line="276" w:lineRule="auto"/>
        <w:jc w:val="left"/>
      </w:pPr>
      <w:r>
        <w:rPr>
          <w:b/>
        </w:rPr>
        <w:t>Организатор:</w:t>
      </w:r>
      <w:r>
        <w:t xml:space="preserve"> </w:t>
      </w:r>
      <w:hyperlink r:id="rId7" w:history="1">
        <w:r>
          <w:rPr>
            <w:color w:val="1F497D"/>
            <w:u w:val="single"/>
          </w:rPr>
          <w:t>НПО</w:t>
        </w:r>
      </w:hyperlink>
      <w:r>
        <w:rPr>
          <w:color w:val="1F497D"/>
          <w:u w:val="single"/>
        </w:rPr>
        <w:t xml:space="preserve"> «ЭЛСИБ» ПАО</w:t>
      </w:r>
    </w:p>
    <w:p>
      <w:pPr>
        <w:keepLines/>
        <w:spacing w:line="276" w:lineRule="auto"/>
        <w:jc w:val="left"/>
        <w:rPr>
          <w:b/>
        </w:rPr>
      </w:pPr>
      <w:r>
        <w:rPr>
          <w:b/>
        </w:rPr>
        <w:t>Местонахождение организатора:</w:t>
      </w:r>
      <w:r>
        <w:t xml:space="preserve"> г. Новосибирск, ул. Сибиряков-Гвардейцев, 56</w:t>
      </w:r>
    </w:p>
    <w:p>
      <w:pPr>
        <w:keepLines/>
        <w:tabs>
          <w:tab w:val="left" w:pos="4619"/>
        </w:tabs>
        <w:spacing w:line="276" w:lineRule="auto"/>
        <w:jc w:val="left"/>
        <w:rPr>
          <w:u w:val="single"/>
        </w:rPr>
      </w:pPr>
      <w:r>
        <w:rPr>
          <w:b/>
        </w:rPr>
        <w:t xml:space="preserve">Телефон и </w:t>
      </w:r>
      <w:r>
        <w:rPr>
          <w:b/>
          <w:lang w:val="en-US"/>
        </w:rPr>
        <w:t>e</w:t>
      </w:r>
      <w:r>
        <w:rPr>
          <w:b/>
        </w:rPr>
        <w:t>-</w:t>
      </w:r>
      <w:r>
        <w:rPr>
          <w:b/>
          <w:lang w:val="en-US"/>
        </w:rPr>
        <w:t>mail</w:t>
      </w:r>
      <w:r>
        <w:rPr>
          <w:b/>
        </w:rPr>
        <w:t xml:space="preserve"> организатора: </w:t>
      </w:r>
      <w:bookmarkStart w:id="0" w:name="executor_phone"/>
      <w:r>
        <w:t xml:space="preserve">+7 (383) </w:t>
      </w:r>
      <w:bookmarkEnd w:id="0"/>
      <w:r>
        <w:t>298-92-05, instrekozina@elsib.ru</w:t>
      </w:r>
    </w:p>
    <w:p>
      <w:pPr>
        <w:keepLines/>
        <w:tabs>
          <w:tab w:val="left" w:pos="4619"/>
        </w:tabs>
        <w:spacing w:line="276" w:lineRule="auto"/>
        <w:jc w:val="left"/>
      </w:pPr>
      <w:r>
        <w:rPr>
          <w:b/>
        </w:rPr>
        <w:t>Исполнитель:</w:t>
      </w:r>
      <w:r>
        <w:t xml:space="preserve"> Стрекозина Инна Николаевна</w:t>
      </w:r>
    </w:p>
    <w:p>
      <w:pPr>
        <w:pStyle w:val="afb"/>
        <w:rPr>
          <w:lang w:eastAsia="ru-RU"/>
        </w:rPr>
      </w:pPr>
      <w:r>
        <w:rPr>
          <w:b/>
          <w:lang w:eastAsia="ru-RU"/>
        </w:rPr>
        <w:t>Способ проведения конкурентной процедуры:</w:t>
      </w:r>
      <w:r>
        <w:rPr>
          <w:lang w:eastAsia="ru-RU"/>
        </w:rPr>
        <w:t xml:space="preserve"> </w:t>
      </w:r>
      <w:bookmarkStart w:id="1" w:name="order_procedure_type"/>
      <w:r>
        <w:rPr>
          <w:lang w:eastAsia="ru-RU"/>
        </w:rPr>
        <w:t>запрос предложений</w:t>
      </w:r>
      <w:bookmarkEnd w:id="1"/>
    </w:p>
    <w:p>
      <w:pPr>
        <w:pStyle w:val="afb"/>
        <w:rPr>
          <w:lang w:eastAsia="ru-RU"/>
        </w:rPr>
      </w:pPr>
      <w:r>
        <w:rPr>
          <w:b/>
          <w:lang w:eastAsia="ru-RU"/>
        </w:rPr>
        <w:t>Наименование предмета закупки:</w:t>
      </w:r>
      <w:r>
        <w:rPr>
          <w:lang w:eastAsia="ru-RU"/>
        </w:rPr>
        <w:t xml:space="preserve"> Сталь калиброванная</w:t>
      </w:r>
    </w:p>
    <w:p>
      <w:pPr>
        <w:pStyle w:val="afb"/>
        <w:rPr>
          <w:lang w:eastAsia="ru-RU"/>
        </w:rPr>
      </w:pPr>
      <w:r>
        <w:rPr>
          <w:b/>
          <w:lang w:eastAsia="ru-RU"/>
        </w:rPr>
        <w:t xml:space="preserve">Начальная </w:t>
      </w:r>
      <w:bookmarkStart w:id="2" w:name="order_price_header_max"/>
      <w:bookmarkEnd w:id="2"/>
      <w:r>
        <w:rPr>
          <w:b/>
          <w:lang w:eastAsia="ru-RU"/>
        </w:rPr>
        <w:t>цена договора (цена лота)</w:t>
      </w:r>
      <w:r>
        <w:rPr>
          <w:lang w:eastAsia="ru-RU"/>
        </w:rPr>
        <w:t xml:space="preserve"> – не определена</w:t>
      </w:r>
    </w:p>
    <w:p>
      <w:pPr>
        <w:keepNext/>
        <w:spacing w:before="240" w:after="120"/>
        <w:rPr>
          <w:rFonts w:eastAsia="Times New Roman"/>
          <w:b/>
          <w:bCs/>
          <w:lang w:eastAsia="ru-RU"/>
        </w:rPr>
      </w:pPr>
      <w:r>
        <w:rPr>
          <w:rFonts w:eastAsia="Times New Roman"/>
          <w:b/>
          <w:bCs/>
          <w:lang w:eastAsia="ru-RU"/>
        </w:rPr>
        <w:t>Состав лота:</w:t>
      </w:r>
    </w:p>
    <w:tbl>
      <w:tblPr>
        <w:tblW w:w="10070" w:type="dxa"/>
        <w:jc w:val="center"/>
        <w:tblLayout w:type="fixed"/>
        <w:tblLook w:val="04A0" w:firstRow="1" w:lastRow="0" w:firstColumn="1" w:lastColumn="0" w:noHBand="0" w:noVBand="1"/>
      </w:tblPr>
      <w:tblGrid>
        <w:gridCol w:w="851"/>
        <w:gridCol w:w="4673"/>
        <w:gridCol w:w="1275"/>
        <w:gridCol w:w="993"/>
        <w:gridCol w:w="2278"/>
      </w:tblGrid>
      <w:tr>
        <w:trPr>
          <w:cantSplit/>
          <w:trHeight w:val="227"/>
          <w:tblHeader/>
          <w:jc w:val="center"/>
        </w:trPr>
        <w:tc>
          <w:tcPr>
            <w:tcW w:w="851" w:type="dxa"/>
            <w:tcBorders>
              <w:top w:val="single" w:sz="4" w:space="0" w:color="auto"/>
              <w:left w:val="single" w:sz="4" w:space="0" w:color="auto"/>
              <w:bottom w:val="single" w:sz="4" w:space="0" w:color="auto"/>
              <w:right w:val="single" w:sz="4" w:space="0" w:color="auto"/>
            </w:tcBorders>
            <w:shd w:val="clear" w:color="auto" w:fill="B9D9EF"/>
            <w:vAlign w:val="center"/>
            <w:hideMark/>
          </w:tcPr>
          <w:p>
            <w:pPr>
              <w:jc w:val="center"/>
              <w:rPr>
                <w:rFonts w:eastAsia="Times New Roman"/>
                <w:lang w:eastAsia="ru-RU"/>
              </w:rPr>
            </w:pPr>
            <w:r>
              <w:rPr>
                <w:rFonts w:eastAsia="Times New Roman"/>
                <w:lang w:eastAsia="ru-RU"/>
              </w:rPr>
              <w:t>№ п/п</w:t>
            </w:r>
          </w:p>
        </w:tc>
        <w:tc>
          <w:tcPr>
            <w:tcW w:w="4673" w:type="dxa"/>
            <w:tcBorders>
              <w:top w:val="single" w:sz="4" w:space="0" w:color="auto"/>
              <w:left w:val="nil"/>
              <w:bottom w:val="single" w:sz="4" w:space="0" w:color="auto"/>
              <w:right w:val="single" w:sz="4" w:space="0" w:color="auto"/>
            </w:tcBorders>
            <w:shd w:val="clear" w:color="auto" w:fill="B9D9EF"/>
            <w:vAlign w:val="center"/>
            <w:hideMark/>
          </w:tcPr>
          <w:p>
            <w:pPr>
              <w:jc w:val="center"/>
              <w:rPr>
                <w:rFonts w:eastAsia="Times New Roman"/>
                <w:lang w:eastAsia="ru-RU"/>
              </w:rPr>
            </w:pPr>
            <w:r>
              <w:rPr>
                <w:rFonts w:eastAsia="Times New Roman"/>
                <w:lang w:eastAsia="ru-RU"/>
              </w:rPr>
              <w:t>Наименование товара</w:t>
            </w:r>
          </w:p>
        </w:tc>
        <w:tc>
          <w:tcPr>
            <w:tcW w:w="1275" w:type="dxa"/>
            <w:tcBorders>
              <w:top w:val="single" w:sz="4" w:space="0" w:color="auto"/>
              <w:left w:val="single" w:sz="4" w:space="0" w:color="auto"/>
              <w:bottom w:val="single" w:sz="4" w:space="0" w:color="auto"/>
              <w:right w:val="single" w:sz="4" w:space="0" w:color="auto"/>
            </w:tcBorders>
            <w:shd w:val="clear" w:color="auto" w:fill="B9D9EF"/>
            <w:vAlign w:val="center"/>
            <w:hideMark/>
          </w:tcPr>
          <w:p>
            <w:pPr>
              <w:jc w:val="center"/>
              <w:rPr>
                <w:rFonts w:eastAsia="Times New Roman"/>
                <w:lang w:eastAsia="ru-RU"/>
              </w:rPr>
            </w:pPr>
            <w:r>
              <w:rPr>
                <w:rFonts w:eastAsia="Times New Roman"/>
                <w:lang w:eastAsia="ru-RU"/>
              </w:rPr>
              <w:t>Ед.</w:t>
            </w:r>
          </w:p>
          <w:p>
            <w:pPr>
              <w:jc w:val="center"/>
              <w:rPr>
                <w:rFonts w:eastAsia="Times New Roman"/>
                <w:lang w:eastAsia="ru-RU"/>
              </w:rPr>
            </w:pPr>
            <w:r>
              <w:rPr>
                <w:rFonts w:eastAsia="Times New Roman"/>
                <w:lang w:eastAsia="ru-RU"/>
              </w:rPr>
              <w:t>изм.</w:t>
            </w:r>
          </w:p>
        </w:tc>
        <w:tc>
          <w:tcPr>
            <w:tcW w:w="993" w:type="dxa"/>
            <w:tcBorders>
              <w:top w:val="single" w:sz="4" w:space="0" w:color="auto"/>
              <w:left w:val="nil"/>
              <w:bottom w:val="single" w:sz="4" w:space="0" w:color="auto"/>
              <w:right w:val="single" w:sz="4" w:space="0" w:color="auto"/>
            </w:tcBorders>
            <w:shd w:val="clear" w:color="auto" w:fill="B9D9EF"/>
            <w:vAlign w:val="center"/>
            <w:hideMark/>
          </w:tcPr>
          <w:p>
            <w:pPr>
              <w:jc w:val="center"/>
              <w:rPr>
                <w:rFonts w:eastAsia="Times New Roman"/>
                <w:lang w:eastAsia="ru-RU"/>
              </w:rPr>
            </w:pPr>
            <w:r>
              <w:rPr>
                <w:rFonts w:eastAsia="Times New Roman"/>
                <w:lang w:eastAsia="ru-RU"/>
              </w:rPr>
              <w:t>Кол-во</w:t>
            </w:r>
          </w:p>
        </w:tc>
        <w:tc>
          <w:tcPr>
            <w:tcW w:w="2278" w:type="dxa"/>
            <w:tcBorders>
              <w:top w:val="single" w:sz="4" w:space="0" w:color="auto"/>
              <w:left w:val="nil"/>
              <w:bottom w:val="single" w:sz="4" w:space="0" w:color="auto"/>
              <w:right w:val="single" w:sz="4" w:space="0" w:color="auto"/>
            </w:tcBorders>
            <w:shd w:val="clear" w:color="auto" w:fill="B9D9EF"/>
            <w:vAlign w:val="center"/>
            <w:hideMark/>
          </w:tcPr>
          <w:p>
            <w:pPr>
              <w:jc w:val="center"/>
              <w:rPr>
                <w:rFonts w:eastAsia="Times New Roman"/>
                <w:lang w:eastAsia="ru-RU"/>
              </w:rPr>
            </w:pPr>
            <w:r>
              <w:rPr>
                <w:rFonts w:eastAsia="Times New Roman"/>
                <w:lang w:eastAsia="ru-RU"/>
              </w:rPr>
              <w:t>Требуемый период поставки, 2024 г.</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1</w:t>
            </w:r>
          </w:p>
        </w:tc>
        <w:tc>
          <w:tcPr>
            <w:tcW w:w="4673" w:type="dxa"/>
            <w:tcBorders>
              <w:top w:val="single" w:sz="4" w:space="0" w:color="auto"/>
              <w:left w:val="nil"/>
              <w:bottom w:val="single" w:sz="4" w:space="0" w:color="auto"/>
              <w:right w:val="single" w:sz="4" w:space="0" w:color="auto"/>
            </w:tcBorders>
            <w:shd w:val="clear" w:color="auto" w:fill="FFFFFF"/>
          </w:tcPr>
          <w:p>
            <w:r>
              <w:t>К</w:t>
            </w:r>
            <w:r>
              <w:t xml:space="preserve">руг  20 - В - Н  16 - h11 </w:t>
            </w:r>
            <w:r>
              <w:t>ГОСТ 1051-73, 7417-75</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0,30</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2</w:t>
            </w:r>
          </w:p>
        </w:tc>
        <w:tc>
          <w:tcPr>
            <w:tcW w:w="4673" w:type="dxa"/>
            <w:tcBorders>
              <w:top w:val="single" w:sz="4" w:space="0" w:color="auto"/>
              <w:left w:val="nil"/>
              <w:bottom w:val="single" w:sz="4" w:space="0" w:color="auto"/>
              <w:right w:val="single" w:sz="4" w:space="0" w:color="auto"/>
            </w:tcBorders>
            <w:shd w:val="clear" w:color="auto" w:fill="FFFFFF"/>
          </w:tcPr>
          <w:p>
            <w:r>
              <w:t xml:space="preserve">Круг  20 - В - Н  30 - h11 </w:t>
            </w:r>
            <w:r>
              <w:t>ГОСТ 1051-73, 7417-75</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0,35</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3</w:t>
            </w:r>
          </w:p>
        </w:tc>
        <w:tc>
          <w:tcPr>
            <w:tcW w:w="4673" w:type="dxa"/>
            <w:tcBorders>
              <w:top w:val="single" w:sz="4" w:space="0" w:color="auto"/>
              <w:left w:val="nil"/>
              <w:bottom w:val="single" w:sz="4" w:space="0" w:color="auto"/>
              <w:right w:val="single" w:sz="4" w:space="0" w:color="auto"/>
            </w:tcBorders>
            <w:shd w:val="clear" w:color="auto" w:fill="FFFFFF"/>
          </w:tcPr>
          <w:p>
            <w:r>
              <w:t xml:space="preserve">Круг  20 - В - Н  32 - h11 </w:t>
            </w:r>
            <w:r>
              <w:t xml:space="preserve">ГОСТ 1051-73, 7417-75 </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0,10</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4</w:t>
            </w:r>
          </w:p>
        </w:tc>
        <w:tc>
          <w:tcPr>
            <w:tcW w:w="4673" w:type="dxa"/>
            <w:tcBorders>
              <w:top w:val="single" w:sz="4" w:space="0" w:color="auto"/>
              <w:left w:val="nil"/>
              <w:bottom w:val="single" w:sz="4" w:space="0" w:color="auto"/>
              <w:right w:val="single" w:sz="4" w:space="0" w:color="auto"/>
            </w:tcBorders>
            <w:shd w:val="clear" w:color="auto" w:fill="FFFFFF"/>
          </w:tcPr>
          <w:p>
            <w:r>
              <w:t xml:space="preserve">Круг  20 - В - Н  36 - h11 </w:t>
            </w:r>
            <w:r>
              <w:t>ГОСТ 1051-73, 7417-75</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0,60</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5</w:t>
            </w:r>
          </w:p>
        </w:tc>
        <w:tc>
          <w:tcPr>
            <w:tcW w:w="4673" w:type="dxa"/>
            <w:tcBorders>
              <w:top w:val="single" w:sz="4" w:space="0" w:color="auto"/>
              <w:left w:val="nil"/>
              <w:bottom w:val="single" w:sz="4" w:space="0" w:color="auto"/>
              <w:right w:val="single" w:sz="4" w:space="0" w:color="auto"/>
            </w:tcBorders>
            <w:shd w:val="clear" w:color="auto" w:fill="FFFFFF"/>
          </w:tcPr>
          <w:p>
            <w:r>
              <w:t xml:space="preserve">Круг  45 - В - Н  20 - h11 </w:t>
            </w:r>
            <w:r>
              <w:t>ГОСТ 1050-2013, 7417-75</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0,05</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6</w:t>
            </w:r>
          </w:p>
        </w:tc>
        <w:tc>
          <w:tcPr>
            <w:tcW w:w="4673" w:type="dxa"/>
            <w:tcBorders>
              <w:top w:val="single" w:sz="4" w:space="0" w:color="auto"/>
              <w:left w:val="nil"/>
              <w:bottom w:val="single" w:sz="4" w:space="0" w:color="auto"/>
              <w:right w:val="single" w:sz="4" w:space="0" w:color="auto"/>
            </w:tcBorders>
            <w:shd w:val="clear" w:color="auto" w:fill="FFFFFF"/>
          </w:tcPr>
          <w:p>
            <w:r>
              <w:t>Круг  45 - В</w:t>
            </w:r>
            <w:r>
              <w:t xml:space="preserve"> - Н  24 - h11 </w:t>
            </w:r>
            <w:r>
              <w:t>ГОСТ 1050-2013, 7417-75</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0,05</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7</w:t>
            </w:r>
          </w:p>
        </w:tc>
        <w:tc>
          <w:tcPr>
            <w:tcW w:w="4673" w:type="dxa"/>
            <w:tcBorders>
              <w:top w:val="single" w:sz="4" w:space="0" w:color="auto"/>
              <w:left w:val="nil"/>
              <w:bottom w:val="single" w:sz="4" w:space="0" w:color="auto"/>
              <w:right w:val="single" w:sz="4" w:space="0" w:color="auto"/>
            </w:tcBorders>
            <w:shd w:val="clear" w:color="auto" w:fill="FFFFFF"/>
          </w:tcPr>
          <w:p>
            <w:r>
              <w:t xml:space="preserve">Круг  45 - В - Н  25 - h11 </w:t>
            </w:r>
            <w:r>
              <w:t>ГОСТ 1051-73, 7417-75</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0,20</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8</w:t>
            </w:r>
          </w:p>
        </w:tc>
        <w:tc>
          <w:tcPr>
            <w:tcW w:w="4673" w:type="dxa"/>
            <w:tcBorders>
              <w:top w:val="single" w:sz="4" w:space="0" w:color="auto"/>
              <w:left w:val="nil"/>
              <w:bottom w:val="single" w:sz="4" w:space="0" w:color="auto"/>
              <w:right w:val="single" w:sz="4" w:space="0" w:color="auto"/>
            </w:tcBorders>
            <w:shd w:val="clear" w:color="auto" w:fill="FFFFFF"/>
          </w:tcPr>
          <w:p>
            <w:r>
              <w:t>Шестигранник  20 - В - Н   14 - h11                                      ГОСТ 1050-2013, 8560-78</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0,10</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9</w:t>
            </w:r>
          </w:p>
        </w:tc>
        <w:tc>
          <w:tcPr>
            <w:tcW w:w="4673" w:type="dxa"/>
            <w:tcBorders>
              <w:top w:val="single" w:sz="4" w:space="0" w:color="auto"/>
              <w:left w:val="nil"/>
              <w:bottom w:val="single" w:sz="4" w:space="0" w:color="auto"/>
              <w:right w:val="single" w:sz="4" w:space="0" w:color="auto"/>
            </w:tcBorders>
            <w:shd w:val="clear" w:color="auto" w:fill="FFFFFF"/>
          </w:tcPr>
          <w:p>
            <w:r>
              <w:t>Шестигранник  20 - В - Н   22 - h11                                      ГОСТ 1050-2013, 8560-78</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0,10</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10</w:t>
            </w:r>
          </w:p>
        </w:tc>
        <w:tc>
          <w:tcPr>
            <w:tcW w:w="4673" w:type="dxa"/>
            <w:tcBorders>
              <w:top w:val="single" w:sz="4" w:space="0" w:color="auto"/>
              <w:left w:val="nil"/>
              <w:bottom w:val="single" w:sz="4" w:space="0" w:color="auto"/>
              <w:right w:val="single" w:sz="4" w:space="0" w:color="auto"/>
            </w:tcBorders>
            <w:shd w:val="clear" w:color="auto" w:fill="FFFFFF"/>
          </w:tcPr>
          <w:p>
            <w:r>
              <w:t>Шестигранник  20 - В - Н   30 - h11                                      ГОСТ 1050-2013, 8560-78</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0,60</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11</w:t>
            </w:r>
          </w:p>
        </w:tc>
        <w:tc>
          <w:tcPr>
            <w:tcW w:w="4673" w:type="dxa"/>
            <w:tcBorders>
              <w:top w:val="single" w:sz="4" w:space="0" w:color="auto"/>
              <w:left w:val="nil"/>
              <w:bottom w:val="single" w:sz="4" w:space="0" w:color="auto"/>
              <w:right w:val="single" w:sz="4" w:space="0" w:color="auto"/>
            </w:tcBorders>
            <w:shd w:val="clear" w:color="auto" w:fill="FFFFFF"/>
          </w:tcPr>
          <w:p>
            <w:r>
              <w:t>Шестигранник  20 - В - Н   36 - h11                                      ГОСТ 1050-2013, 8560-78</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1,00</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12</w:t>
            </w:r>
          </w:p>
        </w:tc>
        <w:tc>
          <w:tcPr>
            <w:tcW w:w="4673" w:type="dxa"/>
            <w:tcBorders>
              <w:top w:val="single" w:sz="4" w:space="0" w:color="auto"/>
              <w:left w:val="nil"/>
              <w:bottom w:val="single" w:sz="4" w:space="0" w:color="auto"/>
              <w:right w:val="single" w:sz="4" w:space="0" w:color="auto"/>
            </w:tcBorders>
            <w:shd w:val="clear" w:color="auto" w:fill="FFFFFF"/>
          </w:tcPr>
          <w:p>
            <w:r>
              <w:t>Шестигранник  20 - В - Н   46 - h11                                      ГОСТ 1050-2013, 8560-78</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0,80</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13</w:t>
            </w:r>
          </w:p>
        </w:tc>
        <w:tc>
          <w:tcPr>
            <w:tcW w:w="4673" w:type="dxa"/>
            <w:tcBorders>
              <w:top w:val="single" w:sz="4" w:space="0" w:color="auto"/>
              <w:left w:val="nil"/>
              <w:bottom w:val="single" w:sz="4" w:space="0" w:color="auto"/>
              <w:right w:val="single" w:sz="4" w:space="0" w:color="auto"/>
            </w:tcBorders>
            <w:shd w:val="clear" w:color="auto" w:fill="FFFFFF"/>
          </w:tcPr>
          <w:p>
            <w:r>
              <w:t>Шестигранник  20 - В - Н   55 - h11                                      ГОСТ 1050-2013, 8560-78</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0,30</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14</w:t>
            </w:r>
          </w:p>
        </w:tc>
        <w:tc>
          <w:tcPr>
            <w:tcW w:w="4673" w:type="dxa"/>
            <w:tcBorders>
              <w:top w:val="single" w:sz="4" w:space="0" w:color="auto"/>
              <w:left w:val="nil"/>
              <w:bottom w:val="single" w:sz="4" w:space="0" w:color="auto"/>
              <w:right w:val="single" w:sz="4" w:space="0" w:color="auto"/>
            </w:tcBorders>
            <w:shd w:val="clear" w:color="auto" w:fill="FFFFFF"/>
          </w:tcPr>
          <w:p>
            <w:r>
              <w:t>Шестигранник  35 - В - Н   19 - h11                                      ГОСТ 1050-2013, 8560-78</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0,35</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15</w:t>
            </w:r>
          </w:p>
        </w:tc>
        <w:tc>
          <w:tcPr>
            <w:tcW w:w="4673" w:type="dxa"/>
            <w:tcBorders>
              <w:top w:val="single" w:sz="4" w:space="0" w:color="auto"/>
              <w:left w:val="nil"/>
              <w:bottom w:val="single" w:sz="4" w:space="0" w:color="auto"/>
              <w:right w:val="single" w:sz="4" w:space="0" w:color="auto"/>
            </w:tcBorders>
            <w:shd w:val="clear" w:color="auto" w:fill="FFFFFF"/>
          </w:tcPr>
          <w:p>
            <w:r>
              <w:t>Шестигранник  35 - В - Н   24 - h11                                      ГОСТ 1050-2013, 8560-78</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0,50</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16</w:t>
            </w:r>
          </w:p>
        </w:tc>
        <w:tc>
          <w:tcPr>
            <w:tcW w:w="4673" w:type="dxa"/>
            <w:tcBorders>
              <w:top w:val="single" w:sz="4" w:space="0" w:color="auto"/>
              <w:left w:val="nil"/>
              <w:bottom w:val="single" w:sz="4" w:space="0" w:color="auto"/>
              <w:right w:val="single" w:sz="4" w:space="0" w:color="auto"/>
            </w:tcBorders>
            <w:shd w:val="clear" w:color="auto" w:fill="FFFFFF"/>
          </w:tcPr>
          <w:p>
            <w:r>
              <w:t>Шестигранник  35 - В - Н   41- h11                                      ГОСТ 1050-2013, 8560-78</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0,10</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17</w:t>
            </w:r>
          </w:p>
        </w:tc>
        <w:tc>
          <w:tcPr>
            <w:tcW w:w="4673" w:type="dxa"/>
            <w:tcBorders>
              <w:top w:val="single" w:sz="4" w:space="0" w:color="auto"/>
              <w:left w:val="nil"/>
              <w:bottom w:val="single" w:sz="4" w:space="0" w:color="auto"/>
              <w:right w:val="single" w:sz="4" w:space="0" w:color="auto"/>
            </w:tcBorders>
            <w:shd w:val="clear" w:color="auto" w:fill="FFFFFF"/>
          </w:tcPr>
          <w:p>
            <w:r>
              <w:t>Шестигранник  35 - В - Н   55 - h11                                      ГОСТ 1050-2013, 8560-78</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1,50</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r>
        <w:trPr>
          <w:cantSplit/>
          <w:trHeight w:val="227"/>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pPr>
              <w:jc w:val="center"/>
              <w:rPr>
                <w:rFonts w:eastAsia="Times New Roman"/>
                <w:lang w:eastAsia="ru-RU"/>
              </w:rPr>
            </w:pPr>
            <w:r>
              <w:rPr>
                <w:rFonts w:eastAsia="Times New Roman"/>
                <w:lang w:eastAsia="ru-RU"/>
              </w:rPr>
              <w:t>18</w:t>
            </w:r>
          </w:p>
        </w:tc>
        <w:tc>
          <w:tcPr>
            <w:tcW w:w="4673" w:type="dxa"/>
            <w:tcBorders>
              <w:top w:val="single" w:sz="4" w:space="0" w:color="auto"/>
              <w:left w:val="nil"/>
              <w:bottom w:val="single" w:sz="4" w:space="0" w:color="auto"/>
              <w:right w:val="single" w:sz="4" w:space="0" w:color="auto"/>
            </w:tcBorders>
            <w:shd w:val="clear" w:color="auto" w:fill="FFFFFF"/>
          </w:tcPr>
          <w:p>
            <w:r>
              <w:t>Шестигранн</w:t>
            </w:r>
            <w:r>
              <w:t xml:space="preserve">ик 45 – В - Н 22 - h11                                                           </w:t>
            </w:r>
            <w:r>
              <w:t>ГOCT 8560-78, 1050-2013</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pPr>
              <w:jc w:val="center"/>
            </w:pPr>
            <w:r>
              <w:t>т</w:t>
            </w:r>
          </w:p>
        </w:tc>
        <w:tc>
          <w:tcPr>
            <w:tcW w:w="993" w:type="dxa"/>
            <w:tcBorders>
              <w:top w:val="single" w:sz="4" w:space="0" w:color="auto"/>
              <w:left w:val="nil"/>
              <w:bottom w:val="single" w:sz="4" w:space="0" w:color="auto"/>
              <w:right w:val="single" w:sz="4" w:space="0" w:color="auto"/>
            </w:tcBorders>
            <w:shd w:val="clear" w:color="auto" w:fill="FFFFFF"/>
          </w:tcPr>
          <w:p>
            <w:pPr>
              <w:jc w:val="center"/>
            </w:pPr>
            <w:r>
              <w:t>0,50</w:t>
            </w:r>
          </w:p>
        </w:tc>
        <w:tc>
          <w:tcPr>
            <w:tcW w:w="2278" w:type="dxa"/>
            <w:tcBorders>
              <w:top w:val="single" w:sz="4" w:space="0" w:color="auto"/>
              <w:left w:val="nil"/>
              <w:bottom w:val="single" w:sz="4" w:space="0" w:color="auto"/>
              <w:right w:val="single" w:sz="4" w:space="0" w:color="auto"/>
            </w:tcBorders>
            <w:shd w:val="clear" w:color="auto" w:fill="FFFFFF"/>
          </w:tcPr>
          <w:p>
            <w:pPr>
              <w:jc w:val="center"/>
            </w:pPr>
            <w:r>
              <w:t>май</w:t>
            </w:r>
          </w:p>
        </w:tc>
      </w:tr>
    </w:tbl>
    <w:p>
      <w:pPr>
        <w:spacing w:line="20" w:lineRule="exact"/>
        <w:jc w:val="left"/>
        <w:rPr>
          <w:rFonts w:eastAsia="Times New Roman"/>
          <w:b/>
          <w:lang w:eastAsia="ru-RU"/>
        </w:rPr>
      </w:pPr>
    </w:p>
    <w:p>
      <w:pPr>
        <w:keepNext/>
        <w:spacing w:before="240"/>
        <w:rPr>
          <w:rFonts w:eastAsia="Times New Roman"/>
          <w:bCs/>
          <w:lang w:eastAsia="ru-RU"/>
        </w:rPr>
      </w:pPr>
      <w:bookmarkStart w:id="3" w:name="order_delivery_header"/>
      <w:r>
        <w:rPr>
          <w:rFonts w:eastAsia="Times New Roman"/>
          <w:b/>
          <w:bCs/>
          <w:lang w:eastAsia="ru-RU"/>
        </w:rPr>
        <w:lastRenderedPageBreak/>
        <w:t>Место поставки</w:t>
      </w:r>
      <w:bookmarkEnd w:id="3"/>
      <w:r>
        <w:rPr>
          <w:rFonts w:eastAsia="Times New Roman"/>
          <w:bCs/>
          <w:lang w:eastAsia="ru-RU"/>
        </w:rPr>
        <w:t>:</w:t>
      </w:r>
      <w:bookmarkStart w:id="4" w:name="order_delivery"/>
      <w:r>
        <w:rPr>
          <w:rFonts w:eastAsia="Times New Roman"/>
          <w:bCs/>
          <w:lang w:eastAsia="ru-RU"/>
        </w:rPr>
        <w:t xml:space="preserve"> Склад НПО "ЭЛСИБ" ПАО, г. Новосибирск, ул. Сибиряков-Гвардейцев, 56</w:t>
      </w:r>
      <w:bookmarkStart w:id="5" w:name="order_other_header"/>
      <w:bookmarkEnd w:id="4"/>
      <w:r>
        <w:rPr>
          <w:rFonts w:eastAsia="Times New Roman"/>
          <w:bCs/>
          <w:lang w:eastAsia="ru-RU"/>
        </w:rPr>
        <w:t>.</w:t>
      </w:r>
    </w:p>
    <w:p>
      <w:pPr>
        <w:tabs>
          <w:tab w:val="left" w:pos="8760"/>
        </w:tabs>
        <w:rPr>
          <w:rFonts w:eastAsia="Times New Roman"/>
          <w:b/>
          <w:bCs/>
          <w:lang w:eastAsia="ru-RU"/>
        </w:rPr>
      </w:pPr>
    </w:p>
    <w:p>
      <w:pPr>
        <w:tabs>
          <w:tab w:val="left" w:pos="8760"/>
        </w:tabs>
        <w:rPr>
          <w:rFonts w:eastAsia="Times New Roman"/>
          <w:bCs/>
          <w:lang w:eastAsia="ru-RU"/>
        </w:rPr>
      </w:pPr>
      <w:r>
        <w:rPr>
          <w:rFonts w:eastAsia="Times New Roman"/>
          <w:b/>
          <w:bCs/>
          <w:lang w:eastAsia="ru-RU"/>
        </w:rPr>
        <w:t>Условия поставки</w:t>
      </w:r>
      <w:bookmarkEnd w:id="5"/>
      <w:r>
        <w:rPr>
          <w:rFonts w:eastAsia="Times New Roman"/>
          <w:b/>
          <w:bCs/>
          <w:lang w:eastAsia="ru-RU"/>
        </w:rPr>
        <w:t>:</w:t>
      </w:r>
      <w:bookmarkStart w:id="6" w:name="order_payment_header"/>
      <w:r>
        <w:rPr>
          <w:rFonts w:eastAsia="Times New Roman"/>
          <w:bCs/>
          <w:lang w:eastAsia="ru-RU"/>
        </w:rPr>
        <w:t xml:space="preserve"> </w:t>
      </w:r>
    </w:p>
    <w:p>
      <w:pPr>
        <w:tabs>
          <w:tab w:val="left" w:pos="8760"/>
        </w:tabs>
        <w:rPr>
          <w:rFonts w:eastAsia="Times New Roman"/>
          <w:bCs/>
          <w:lang w:eastAsia="ru-RU"/>
        </w:rPr>
      </w:pPr>
      <w:r>
        <w:rPr>
          <w:rFonts w:eastAsia="Times New Roman"/>
          <w:bCs/>
          <w:lang w:eastAsia="ru-RU"/>
        </w:rPr>
        <w:t xml:space="preserve">Вместе с поставкой обязательно наличие товарно-транспортной накладной (товаросопроводительных документов) с указанием фактического адреса отгрузки, а также паспортов или сертификатов качества (с синими печатями - при наличии печати) на каждую единицу продукции (партию). Продукция подлежит обязательному входному контролю Заказчиком. При отсутствии товаросопроводительных документов, при поставке продукции, не соответствующей нормативной документации по качеству, продукция подлежит возврату Поставщику за его счет. </w:t>
      </w:r>
    </w:p>
    <w:p>
      <w:pPr>
        <w:tabs>
          <w:tab w:val="left" w:pos="8760"/>
        </w:tabs>
        <w:rPr>
          <w:rFonts w:eastAsia="Times New Roman"/>
          <w:bCs/>
          <w:lang w:eastAsia="ru-RU"/>
        </w:rPr>
      </w:pPr>
      <w:r>
        <w:rPr>
          <w:rFonts w:eastAsia="Times New Roman"/>
          <w:bCs/>
          <w:lang w:eastAsia="ru-RU"/>
        </w:rPr>
        <w:t>Соблюдение Кодекса делового поведения Поставщика продукции и услуг НПО «ЭЛСИБ» ПАО.</w:t>
      </w:r>
    </w:p>
    <w:p>
      <w:pPr>
        <w:rPr>
          <w:rFonts w:eastAsia="Times New Roman"/>
          <w:b/>
          <w:bCs/>
          <w:lang w:eastAsia="ru-RU"/>
        </w:rPr>
      </w:pPr>
    </w:p>
    <w:p>
      <w:pPr>
        <w:rPr>
          <w:rFonts w:eastAsia="Times New Roman"/>
          <w:bCs/>
          <w:lang w:eastAsia="ru-RU"/>
        </w:rPr>
      </w:pPr>
      <w:r>
        <w:rPr>
          <w:rFonts w:eastAsia="Times New Roman"/>
          <w:b/>
          <w:bCs/>
          <w:lang w:eastAsia="ru-RU"/>
        </w:rPr>
        <w:t>Форма, сроки и порядок оплаты</w:t>
      </w:r>
      <w:bookmarkEnd w:id="6"/>
      <w:r>
        <w:rPr>
          <w:rFonts w:eastAsia="Times New Roman"/>
          <w:b/>
          <w:bCs/>
          <w:lang w:eastAsia="ru-RU"/>
        </w:rPr>
        <w:t>:</w:t>
      </w:r>
      <w:bookmarkStart w:id="7" w:name="order_price_formation_header"/>
      <w:r>
        <w:rPr>
          <w:rFonts w:eastAsia="Times New Roman"/>
          <w:b/>
          <w:bCs/>
          <w:lang w:eastAsia="ru-RU"/>
        </w:rPr>
        <w:t xml:space="preserve"> </w:t>
      </w:r>
      <w:r>
        <w:rPr>
          <w:rFonts w:eastAsia="Times New Roman"/>
          <w:bCs/>
          <w:lang w:eastAsia="ru-RU"/>
        </w:rPr>
        <w:t xml:space="preserve">Безналичный расчет, в течение 60 календарных дней после подписания Покупателем документа, подтверждающего получение Товара (партии Товара). </w:t>
      </w:r>
    </w:p>
    <w:p>
      <w:pPr>
        <w:rPr>
          <w:rFonts w:eastAsia="Times New Roman"/>
          <w:b/>
          <w:bCs/>
          <w:lang w:eastAsia="ru-RU"/>
        </w:rPr>
      </w:pPr>
    </w:p>
    <w:p>
      <w:pPr>
        <w:rPr>
          <w:rFonts w:eastAsia="Times New Roman"/>
          <w:bCs/>
          <w:lang w:eastAsia="ru-RU"/>
        </w:rPr>
      </w:pPr>
      <w:r>
        <w:rPr>
          <w:rFonts w:eastAsia="Times New Roman"/>
          <w:b/>
          <w:bCs/>
          <w:lang w:eastAsia="ru-RU"/>
        </w:rPr>
        <w:t>Порядок формирования цены лота</w:t>
      </w:r>
      <w:bookmarkEnd w:id="7"/>
      <w:r>
        <w:rPr>
          <w:rFonts w:eastAsia="Times New Roman"/>
          <w:b/>
          <w:bCs/>
          <w:lang w:eastAsia="ru-RU"/>
        </w:rPr>
        <w:t>:</w:t>
      </w:r>
      <w:bookmarkStart w:id="8" w:name="order_changes_header"/>
      <w:r>
        <w:rPr>
          <w:rFonts w:eastAsia="Times New Roman"/>
          <w:bCs/>
          <w:lang w:eastAsia="ru-RU"/>
        </w:rPr>
        <w:t xml:space="preserve"> </w:t>
      </w:r>
      <w:proofErr w:type="gramStart"/>
      <w:r>
        <w:rPr>
          <w:rFonts w:eastAsia="Times New Roman"/>
          <w:bCs/>
          <w:lang w:eastAsia="ru-RU"/>
        </w:rPr>
        <w:t>В</w:t>
      </w:r>
      <w:proofErr w:type="gramEnd"/>
      <w:r>
        <w:rPr>
          <w:rFonts w:eastAsia="Times New Roman"/>
          <w:bCs/>
          <w:lang w:eastAsia="ru-RU"/>
        </w:rPr>
        <w:t xml:space="preserve"> расчет стоимости лота должны быть включены все налоги и обязательные платежи, все расходы на упаковку, маркировку, транспортировку до склада НПО "ЭЛСИБ" ПАО, а также все скидки, предлагаемые участником закупки. </w:t>
      </w:r>
    </w:p>
    <w:p>
      <w:pPr>
        <w:rPr>
          <w:rFonts w:eastAsia="Times New Roman"/>
          <w:b/>
          <w:bCs/>
          <w:lang w:eastAsia="ru-RU"/>
        </w:rPr>
      </w:pPr>
    </w:p>
    <w:p>
      <w:pPr>
        <w:rPr>
          <w:rFonts w:eastAsia="Times New Roman"/>
          <w:bCs/>
          <w:lang w:eastAsia="ru-RU"/>
        </w:rPr>
      </w:pPr>
      <w:r>
        <w:rPr>
          <w:rFonts w:eastAsia="Times New Roman"/>
          <w:b/>
          <w:bCs/>
          <w:lang w:eastAsia="ru-RU"/>
        </w:rPr>
        <w:t>Допустимость замен, аналогов</w:t>
      </w:r>
      <w:bookmarkEnd w:id="8"/>
      <w:r>
        <w:rPr>
          <w:rFonts w:eastAsia="Times New Roman"/>
          <w:b/>
          <w:bCs/>
          <w:lang w:eastAsia="ru-RU"/>
        </w:rPr>
        <w:t xml:space="preserve">: </w:t>
      </w:r>
      <w:r>
        <w:rPr>
          <w:rFonts w:eastAsia="Times New Roman"/>
          <w:bCs/>
          <w:lang w:eastAsia="ru-RU"/>
        </w:rPr>
        <w:t xml:space="preserve">1) в части наименования - в зависимости от маркировки Производителя; 2) по количеству, </w:t>
      </w:r>
      <w:proofErr w:type="spellStart"/>
      <w:r>
        <w:rPr>
          <w:rFonts w:eastAsia="Times New Roman"/>
          <w:bCs/>
          <w:lang w:eastAsia="ru-RU"/>
        </w:rPr>
        <w:t>толеранс</w:t>
      </w:r>
      <w:proofErr w:type="spellEnd"/>
      <w:r>
        <w:rPr>
          <w:rFonts w:eastAsia="Times New Roman"/>
          <w:bCs/>
          <w:lang w:eastAsia="ru-RU"/>
        </w:rPr>
        <w:t xml:space="preserve"> +/-10%; 3) допустимо изменение срока поставки с обязательным согласованием Заказчика (допускается отгрузка частями); 4) замена по ГОСТ: 1051-73 на 1050-2013.</w:t>
      </w:r>
    </w:p>
    <w:p>
      <w:pPr>
        <w:rPr>
          <w:rFonts w:eastAsia="Times New Roman"/>
          <w:b/>
          <w:bCs/>
          <w:lang w:eastAsia="ru-RU"/>
        </w:rPr>
      </w:pPr>
    </w:p>
    <w:p>
      <w:pPr>
        <w:rPr>
          <w:rFonts w:eastAsia="Times New Roman"/>
          <w:b/>
          <w:bCs/>
          <w:lang w:eastAsia="ru-RU"/>
        </w:rPr>
      </w:pPr>
      <w:r>
        <w:rPr>
          <w:rFonts w:eastAsia="Times New Roman"/>
          <w:b/>
          <w:bCs/>
          <w:lang w:eastAsia="ru-RU"/>
        </w:rPr>
        <w:t xml:space="preserve">Требования к участникам: </w:t>
      </w:r>
    </w:p>
    <w:p>
      <w:r>
        <w:rPr>
          <w:rFonts w:eastAsia="Times New Roman"/>
          <w:bCs/>
          <w:lang w:eastAsia="ru-RU"/>
        </w:rPr>
        <w:t>Предпочтительна сертификация поставщика в области ISO 9001, ISO 14001, ISO 45001, что подтверждается предоставлением скан-версий (копий) сертификатов ISО.</w:t>
      </w:r>
    </w:p>
    <w:p>
      <w:pPr>
        <w:rPr>
          <w:rFonts w:asciiTheme="minorHAnsi" w:hAnsiTheme="minorHAnsi"/>
          <w:bCs/>
        </w:rPr>
      </w:pPr>
    </w:p>
    <w:p>
      <w:pPr>
        <w:pStyle w:val="ad"/>
        <w:numPr>
          <w:ilvl w:val="0"/>
          <w:numId w:val="20"/>
        </w:numPr>
        <w:jc w:val="both"/>
        <w:rPr>
          <w:rFonts w:asciiTheme="minorHAnsi" w:eastAsia="Times New Roman" w:hAnsiTheme="minorHAnsi"/>
          <w:b/>
          <w:bCs/>
          <w:lang w:eastAsia="ru-RU"/>
        </w:rPr>
      </w:pPr>
      <w:r>
        <w:rPr>
          <w:rFonts w:asciiTheme="minorHAnsi" w:hAnsiTheme="minorHAnsi"/>
          <w:b/>
          <w:bCs/>
        </w:rPr>
        <w:t xml:space="preserve">Закупочная документация доступна со дня опубликования без взимания платы круглосуточно на сайте НПО «ЭЛСИБ» ПАО </w:t>
      </w:r>
      <w:hyperlink r:id="rId8" w:history="1">
        <w:r>
          <w:rPr>
            <w:rStyle w:val="aa"/>
            <w:rFonts w:asciiTheme="minorHAnsi" w:hAnsiTheme="minorHAnsi"/>
            <w:b/>
            <w:bCs/>
            <w:lang w:val="en-US"/>
          </w:rPr>
          <w:t>www</w:t>
        </w:r>
        <w:r>
          <w:rPr>
            <w:rStyle w:val="aa"/>
            <w:rFonts w:asciiTheme="minorHAnsi" w:hAnsiTheme="minorHAnsi"/>
            <w:b/>
            <w:bCs/>
          </w:rPr>
          <w:t>.</w:t>
        </w:r>
        <w:proofErr w:type="spellStart"/>
        <w:r>
          <w:rPr>
            <w:rStyle w:val="aa"/>
            <w:rFonts w:asciiTheme="minorHAnsi" w:hAnsiTheme="minorHAnsi"/>
            <w:b/>
            <w:bCs/>
            <w:lang w:val="en-US"/>
          </w:rPr>
          <w:t>elsib</w:t>
        </w:r>
        <w:proofErr w:type="spellEnd"/>
        <w:r>
          <w:rPr>
            <w:rStyle w:val="aa"/>
            <w:rFonts w:asciiTheme="minorHAnsi" w:hAnsiTheme="minorHAnsi"/>
            <w:b/>
            <w:bCs/>
          </w:rPr>
          <w:t>.</w:t>
        </w:r>
        <w:proofErr w:type="spellStart"/>
        <w:r>
          <w:rPr>
            <w:rStyle w:val="aa"/>
            <w:rFonts w:asciiTheme="minorHAnsi" w:hAnsiTheme="minorHAnsi"/>
            <w:b/>
            <w:bCs/>
            <w:lang w:val="en-US"/>
          </w:rPr>
          <w:t>ru</w:t>
        </w:r>
        <w:proofErr w:type="spellEnd"/>
      </w:hyperlink>
      <w:r>
        <w:rPr>
          <w:rFonts w:asciiTheme="minorHAnsi" w:hAnsiTheme="minorHAnsi"/>
          <w:b/>
          <w:bCs/>
        </w:rPr>
        <w:t xml:space="preserve"> в разделе «Поставщикам», подраздел «Закупки»</w:t>
      </w:r>
      <w:r>
        <w:rPr>
          <w:rFonts w:asciiTheme="minorHAnsi" w:hAnsiTheme="minorHAnsi"/>
          <w:b/>
        </w:rPr>
        <w:t xml:space="preserve">. </w:t>
      </w:r>
      <w:r>
        <w:rPr>
          <w:rFonts w:asciiTheme="minorHAnsi" w:hAnsiTheme="minorHAnsi"/>
          <w:b/>
          <w:szCs w:val="24"/>
        </w:rPr>
        <w:t>Заявки принимаются с 25.04.2024 г. Срок окончания подачи заявок в экранной форме на сайте</w:t>
      </w:r>
      <w:r>
        <w:rPr>
          <w:rFonts w:asciiTheme="minorHAnsi" w:hAnsiTheme="minorHAnsi"/>
          <w:b/>
        </w:rPr>
        <w:t xml:space="preserve"> </w:t>
      </w:r>
      <w:bookmarkStart w:id="9" w:name="offer_date"/>
      <w:r>
        <w:rPr>
          <w:rFonts w:asciiTheme="minorHAnsi" w:hAnsiTheme="minorHAnsi"/>
          <w:b/>
          <w:u w:val="single"/>
        </w:rPr>
        <w:t xml:space="preserve">12-00 </w:t>
      </w:r>
      <w:bookmarkEnd w:id="9"/>
      <w:r>
        <w:rPr>
          <w:rFonts w:asciiTheme="minorHAnsi" w:hAnsiTheme="minorHAnsi"/>
          <w:b/>
          <w:u w:val="single"/>
        </w:rPr>
        <w:t>02.05.2024 г.</w:t>
      </w:r>
      <w:r>
        <w:rPr>
          <w:rFonts w:asciiTheme="minorHAnsi" w:hAnsiTheme="minorHAnsi"/>
          <w:b/>
        </w:rPr>
        <w:t xml:space="preserve"> (по московскому времени).</w:t>
      </w:r>
    </w:p>
    <w:p>
      <w:pPr>
        <w:keepLines/>
        <w:numPr>
          <w:ilvl w:val="0"/>
          <w:numId w:val="20"/>
        </w:numPr>
        <w:autoSpaceDE w:val="0"/>
        <w:autoSpaceDN w:val="0"/>
        <w:spacing w:before="120"/>
        <w:ind w:left="714" w:hanging="357"/>
        <w:rPr>
          <w:rFonts w:asciiTheme="minorHAnsi" w:eastAsia="Times New Roman" w:hAnsiTheme="minorHAnsi"/>
          <w:bCs/>
          <w:lang w:eastAsia="ru-RU"/>
        </w:rPr>
      </w:pPr>
      <w:r>
        <w:rPr>
          <w:rFonts w:asciiTheme="minorHAnsi" w:eastAsia="Times New Roman" w:hAnsiTheme="minorHAnsi"/>
          <w:bCs/>
          <w:lang w:eastAsia="ru-RU"/>
        </w:rPr>
        <w:t xml:space="preserve">Заявки на участие будут рассмотрены по адресу: </w:t>
      </w:r>
      <w:r>
        <w:rPr>
          <w:rFonts w:asciiTheme="minorHAnsi" w:eastAsia="Times New Roman" w:hAnsiTheme="minorHAnsi"/>
          <w:szCs w:val="24"/>
          <w:lang w:eastAsia="ru-RU"/>
        </w:rPr>
        <w:t xml:space="preserve">г. Новосибирск, ул. Сибиряков-Гвардейцев 56. </w:t>
      </w:r>
      <w:r>
        <w:rPr>
          <w:rFonts w:asciiTheme="minorHAnsi" w:eastAsia="Times New Roman" w:hAnsiTheme="minorHAnsi"/>
          <w:bCs/>
          <w:lang w:eastAsia="ru-RU"/>
        </w:rPr>
        <w:t xml:space="preserve">Рассмотрение заявок на участие и подведение итогов конкурентной процедуры состоится </w:t>
      </w:r>
      <w:bookmarkStart w:id="10" w:name="protocol_date"/>
      <w:r>
        <w:rPr>
          <w:rFonts w:asciiTheme="minorHAnsi" w:eastAsia="Times New Roman" w:hAnsiTheme="minorHAnsi"/>
          <w:bCs/>
          <w:lang w:eastAsia="ru-RU"/>
        </w:rPr>
        <w:t>08.05.20</w:t>
      </w:r>
      <w:bookmarkEnd w:id="10"/>
      <w:r>
        <w:rPr>
          <w:rFonts w:asciiTheme="minorHAnsi" w:eastAsia="Times New Roman" w:hAnsiTheme="minorHAnsi"/>
          <w:bCs/>
          <w:lang w:eastAsia="ru-RU"/>
        </w:rPr>
        <w:t>24 г.</w:t>
      </w:r>
    </w:p>
    <w:p>
      <w:pPr>
        <w:keepLines/>
        <w:numPr>
          <w:ilvl w:val="0"/>
          <w:numId w:val="20"/>
        </w:numPr>
        <w:autoSpaceDE w:val="0"/>
        <w:autoSpaceDN w:val="0"/>
        <w:spacing w:before="120"/>
        <w:ind w:left="714" w:hanging="357"/>
        <w:rPr>
          <w:rFonts w:asciiTheme="minorHAnsi" w:eastAsia="Times New Roman" w:hAnsiTheme="minorHAnsi"/>
          <w:bCs/>
          <w:lang w:eastAsia="ru-RU"/>
        </w:rPr>
      </w:pPr>
      <w:r>
        <w:rPr>
          <w:rFonts w:asciiTheme="minorHAnsi" w:eastAsia="Times New Roman" w:hAnsiTheme="minorHAnsi"/>
          <w:bCs/>
          <w:lang w:eastAsia="ru-RU"/>
        </w:rPr>
        <w:t>Направляя заявку на участие в закупке, участник дает согласие на обработку своих персональных данных и (или) подтверждает получение всех требуемых в соответствии с Федеральным законом от 27.07.2006 № 152-ФЗ «О персональных данных» и Трудовым кодексом РФ согласий на обработку персональных данных.</w:t>
      </w:r>
    </w:p>
    <w:p>
      <w:pPr>
        <w:keepLines/>
        <w:numPr>
          <w:ilvl w:val="0"/>
          <w:numId w:val="20"/>
        </w:numPr>
        <w:autoSpaceDE w:val="0"/>
        <w:autoSpaceDN w:val="0"/>
        <w:spacing w:before="120"/>
        <w:ind w:left="714" w:hanging="357"/>
        <w:rPr>
          <w:rFonts w:asciiTheme="minorHAnsi" w:eastAsia="Times New Roman" w:hAnsiTheme="minorHAnsi"/>
          <w:bCs/>
          <w:lang w:eastAsia="ru-RU"/>
        </w:rPr>
      </w:pPr>
      <w:r>
        <w:rPr>
          <w:rFonts w:asciiTheme="minorHAnsi" w:eastAsia="Times New Roman" w:hAnsiTheme="minorHAnsi"/>
          <w:bCs/>
          <w:lang w:eastAsia="ru-RU"/>
        </w:rPr>
        <w:t>Подведение итогов будет осуществлено после проверки заявок на соответствие требованиям документации о закупке, и результаты будут отражены в протоколе конкурентной процедуры, составленном организатором, сканированная копия которого будет размещена на ЭТП во вкладке «Протоколы».</w:t>
      </w:r>
    </w:p>
    <w:p>
      <w:pPr>
        <w:keepLines/>
        <w:numPr>
          <w:ilvl w:val="0"/>
          <w:numId w:val="20"/>
        </w:numPr>
        <w:autoSpaceDE w:val="0"/>
        <w:autoSpaceDN w:val="0"/>
        <w:spacing w:before="120"/>
        <w:ind w:left="714" w:hanging="357"/>
        <w:rPr>
          <w:rFonts w:asciiTheme="minorHAnsi" w:eastAsia="Times New Roman" w:hAnsiTheme="minorHAnsi"/>
          <w:bCs/>
          <w:lang w:eastAsia="ru-RU"/>
        </w:rPr>
      </w:pPr>
      <w:bookmarkStart w:id="11" w:name="oferta_box"/>
      <w:r>
        <w:rPr>
          <w:rFonts w:asciiTheme="minorHAnsi" w:eastAsia="Times New Roman" w:hAnsiTheme="minorHAnsi"/>
          <w:bCs/>
          <w:lang w:eastAsia="ru-RU"/>
        </w:rPr>
        <w:t>Данная процедура не является офертой или публичной офертой, или процедурой проведения торгов. Заключение договора для заказчика по результатам процедуры не является обязательным. Данная конкурентная процедура может быть прекращена в любой момент до подведения её итогов.</w:t>
      </w:r>
      <w:bookmarkEnd w:id="11"/>
    </w:p>
    <w:p>
      <w:pPr>
        <w:keepLines/>
        <w:numPr>
          <w:ilvl w:val="0"/>
          <w:numId w:val="20"/>
        </w:numPr>
        <w:autoSpaceDE w:val="0"/>
        <w:autoSpaceDN w:val="0"/>
        <w:spacing w:before="120"/>
        <w:ind w:left="714" w:hanging="357"/>
        <w:rPr>
          <w:rFonts w:asciiTheme="minorHAnsi" w:eastAsia="Times New Roman" w:hAnsiTheme="minorHAnsi"/>
          <w:bCs/>
          <w:lang w:eastAsia="ru-RU"/>
        </w:rPr>
      </w:pPr>
      <w:r>
        <w:rPr>
          <w:rFonts w:asciiTheme="minorHAnsi" w:eastAsia="Times New Roman" w:hAnsiTheme="minorHAnsi"/>
          <w:szCs w:val="24"/>
          <w:lang w:eastAsia="ru-RU"/>
        </w:rPr>
        <w:t>Требования, связанные с определением соответствия предмета закупки потребностям заказчика изложены в настоящей документации, в том числе в приложениях.</w:t>
      </w:r>
    </w:p>
    <w:p>
      <w:pPr>
        <w:pStyle w:val="ad"/>
        <w:keepLines/>
        <w:numPr>
          <w:ilvl w:val="0"/>
          <w:numId w:val="30"/>
        </w:numPr>
        <w:spacing w:before="120"/>
        <w:rPr>
          <w:rFonts w:asciiTheme="minorHAnsi" w:hAnsiTheme="minorHAnsi"/>
          <w:b/>
        </w:rPr>
      </w:pPr>
      <w:r>
        <w:rPr>
          <w:rFonts w:asciiTheme="minorHAnsi" w:hAnsiTheme="minorHAnsi"/>
          <w:b/>
        </w:rPr>
        <w:t>Порядок подачи и требования к содержанию заявки на участие</w:t>
      </w:r>
    </w:p>
    <w:p>
      <w:pPr>
        <w:keepLines/>
        <w:spacing w:after="120"/>
        <w:rPr>
          <w:rFonts w:asciiTheme="minorHAnsi" w:hAnsiTheme="minorHAnsi"/>
          <w:bCs/>
        </w:rPr>
      </w:pPr>
      <w:r>
        <w:rPr>
          <w:rFonts w:asciiTheme="minorHAnsi" w:hAnsiTheme="minorHAnsi"/>
          <w:bCs/>
        </w:rPr>
        <w:lastRenderedPageBreak/>
        <w:t>Заявка на участие в конкурентной процедуре подается Организатору процедуры через сайт НПО «ЭЛСИБ» ПАО до окончания срока подачи заявок.</w:t>
      </w:r>
    </w:p>
    <w:p>
      <w:pPr>
        <w:keepLines/>
        <w:spacing w:after="120"/>
        <w:rPr>
          <w:rFonts w:asciiTheme="minorHAnsi" w:hAnsiTheme="minorHAnsi"/>
          <w:bCs/>
        </w:rPr>
      </w:pPr>
      <w:r>
        <w:rPr>
          <w:rFonts w:asciiTheme="minorHAnsi" w:hAnsiTheme="minorHAnsi"/>
          <w:bCs/>
        </w:rPr>
        <w:t>Коммерческое предложение должно быть оформлено по шаблону, который является Приложением к настоящей документации с заполнением всех обязательных полей.</w:t>
      </w:r>
    </w:p>
    <w:p>
      <w:pPr>
        <w:keepLines/>
        <w:spacing w:after="120"/>
        <w:rPr>
          <w:rFonts w:asciiTheme="minorHAnsi" w:hAnsiTheme="minorHAnsi"/>
          <w:bCs/>
        </w:rPr>
      </w:pPr>
      <w:r>
        <w:rPr>
          <w:rFonts w:asciiTheme="minorHAnsi" w:hAnsiTheme="minorHAnsi"/>
          <w:bCs/>
        </w:rPr>
        <w:t>Участник конкурентной процедуры вправе подать только одно предложение.</w:t>
      </w:r>
    </w:p>
    <w:p>
      <w:pPr>
        <w:pStyle w:val="afb"/>
      </w:pPr>
      <w:r>
        <w:t xml:space="preserve">Не позднее срока окончания подачи заявок участнику необходимо прикрепить к процедуре на сайте скан-образ документов, подтверждающих соответствие участника требованиям настоящей документации, а также </w:t>
      </w:r>
      <w:proofErr w:type="spellStart"/>
      <w:r>
        <w:t>excel</w:t>
      </w:r>
      <w:proofErr w:type="spellEnd"/>
      <w:r>
        <w:t xml:space="preserve"> файл и скан коммерческого предложения за подписью уполномоченного лица. Пакет документов должен быть загружен одним или несколькими архивами формата </w:t>
      </w:r>
      <w:r>
        <w:rPr>
          <w:u w:val="single"/>
          <w:lang w:val="en-US"/>
        </w:rPr>
        <w:t>zip</w:t>
      </w:r>
      <w:r>
        <w:t>, по объему не превышающими 10 МБ (каждый).</w:t>
      </w:r>
    </w:p>
    <w:p>
      <w:pPr>
        <w:pStyle w:val="ad"/>
        <w:keepLines/>
        <w:numPr>
          <w:ilvl w:val="0"/>
          <w:numId w:val="30"/>
        </w:numPr>
        <w:spacing w:before="120"/>
        <w:rPr>
          <w:rFonts w:asciiTheme="minorHAnsi" w:hAnsiTheme="minorHAnsi"/>
          <w:b/>
        </w:rPr>
      </w:pPr>
      <w:r>
        <w:rPr>
          <w:rFonts w:asciiTheme="minorHAnsi" w:hAnsiTheme="minorHAnsi"/>
          <w:b/>
        </w:rPr>
        <w:t>К оценке не допускаются участники конкурентной процедуры в следующих случаях:</w:t>
      </w:r>
    </w:p>
    <w:p>
      <w:pPr>
        <w:pStyle w:val="ad"/>
        <w:keepLines/>
        <w:spacing w:after="120"/>
        <w:rPr>
          <w:rFonts w:asciiTheme="minorHAnsi" w:hAnsiTheme="minorHAnsi"/>
          <w:bCs/>
        </w:rPr>
      </w:pPr>
    </w:p>
    <w:p>
      <w:pPr>
        <w:pStyle w:val="ad"/>
        <w:keepLines/>
        <w:numPr>
          <w:ilvl w:val="0"/>
          <w:numId w:val="31"/>
        </w:numPr>
        <w:spacing w:after="120"/>
        <w:rPr>
          <w:rFonts w:asciiTheme="minorHAnsi" w:hAnsiTheme="minorHAnsi"/>
          <w:bCs/>
        </w:rPr>
      </w:pPr>
      <w:r>
        <w:rPr>
          <w:rFonts w:asciiTheme="minorHAnsi" w:hAnsiTheme="minorHAnsi"/>
          <w:bCs/>
        </w:rPr>
        <w:t>При несоответствии требованиям, указанным в настоящей документации, в том числе приложениях.</w:t>
      </w:r>
    </w:p>
    <w:p>
      <w:pPr>
        <w:pStyle w:val="ad"/>
        <w:keepLines/>
        <w:numPr>
          <w:ilvl w:val="0"/>
          <w:numId w:val="31"/>
        </w:numPr>
        <w:spacing w:after="120"/>
        <w:rPr>
          <w:rFonts w:asciiTheme="minorHAnsi" w:hAnsiTheme="minorHAnsi"/>
          <w:bCs/>
        </w:rPr>
      </w:pPr>
      <w:r>
        <w:rPr>
          <w:rFonts w:asciiTheme="minorHAnsi" w:hAnsiTheme="minorHAnsi"/>
          <w:bCs/>
        </w:rPr>
        <w:t>При подаче заявки на часть лота;</w:t>
      </w:r>
    </w:p>
    <w:p>
      <w:pPr>
        <w:pStyle w:val="ad"/>
        <w:keepLines/>
        <w:numPr>
          <w:ilvl w:val="0"/>
          <w:numId w:val="31"/>
        </w:numPr>
        <w:spacing w:after="120"/>
        <w:rPr>
          <w:rFonts w:asciiTheme="minorHAnsi" w:hAnsiTheme="minorHAnsi"/>
          <w:bCs/>
        </w:rPr>
      </w:pPr>
      <w:r>
        <w:rPr>
          <w:rFonts w:asciiTheme="minorHAnsi" w:hAnsiTheme="minorHAnsi"/>
          <w:bCs/>
        </w:rPr>
        <w:t>При предложении замен или аналогов, не соответствующих требованиям документации;</w:t>
      </w:r>
    </w:p>
    <w:p>
      <w:pPr>
        <w:pStyle w:val="ad"/>
        <w:keepLines/>
        <w:numPr>
          <w:ilvl w:val="0"/>
          <w:numId w:val="31"/>
        </w:numPr>
        <w:spacing w:after="120"/>
        <w:rPr>
          <w:rFonts w:asciiTheme="minorHAnsi" w:hAnsiTheme="minorHAnsi"/>
          <w:bCs/>
        </w:rPr>
      </w:pPr>
      <w:r>
        <w:rPr>
          <w:rFonts w:asciiTheme="minorHAnsi" w:hAnsiTheme="minorHAnsi"/>
          <w:bCs/>
        </w:rPr>
        <w:t>При предоставлении недостоверных сведений;</w:t>
      </w:r>
    </w:p>
    <w:p>
      <w:pPr>
        <w:pStyle w:val="ad"/>
        <w:keepLines/>
        <w:numPr>
          <w:ilvl w:val="0"/>
          <w:numId w:val="31"/>
        </w:numPr>
        <w:spacing w:after="120"/>
        <w:rPr>
          <w:rFonts w:asciiTheme="minorHAnsi" w:hAnsiTheme="minorHAnsi"/>
          <w:bCs/>
        </w:rPr>
      </w:pPr>
      <w:r>
        <w:rPr>
          <w:rFonts w:asciiTheme="minorHAnsi" w:hAnsiTheme="minorHAnsi"/>
          <w:bCs/>
        </w:rPr>
        <w:t xml:space="preserve">При наличии сведений об участнике в </w:t>
      </w:r>
      <w:hyperlink r:id="rId9" w:history="1">
        <w:r>
          <w:rPr>
            <w:rStyle w:val="aa"/>
            <w:rFonts w:asciiTheme="minorHAnsi" w:hAnsiTheme="minorHAnsi"/>
            <w:bCs/>
            <w:color w:val="auto"/>
          </w:rPr>
          <w:t>реестре недобросовестных поставщиков</w:t>
        </w:r>
      </w:hyperlink>
      <w:r>
        <w:rPr>
          <w:rFonts w:asciiTheme="minorHAnsi" w:hAnsiTheme="minorHAnsi"/>
          <w:bCs/>
        </w:rPr>
        <w:t>, предусмотренном статьей 5 ФЗ от 18.07.2011 № 223-ФЗ; статьей 104 ФЗ от 05.04.2013 № 44-ФЗ;</w:t>
      </w:r>
    </w:p>
    <w:p>
      <w:pPr>
        <w:pStyle w:val="ad"/>
        <w:keepLines/>
        <w:numPr>
          <w:ilvl w:val="0"/>
          <w:numId w:val="31"/>
        </w:numPr>
        <w:spacing w:after="120"/>
        <w:rPr>
          <w:rFonts w:asciiTheme="minorHAnsi" w:hAnsiTheme="minorHAnsi"/>
          <w:bCs/>
        </w:rPr>
      </w:pPr>
      <w:r>
        <w:rPr>
          <w:rFonts w:asciiTheme="minorHAnsi" w:hAnsiTheme="minorHAnsi"/>
          <w:bCs/>
        </w:rPr>
        <w:t>При наличии сведений о ликвидации участника;</w:t>
      </w:r>
    </w:p>
    <w:p>
      <w:pPr>
        <w:pStyle w:val="ad"/>
        <w:keepLines/>
        <w:numPr>
          <w:ilvl w:val="0"/>
          <w:numId w:val="31"/>
        </w:numPr>
        <w:spacing w:after="120"/>
        <w:rPr>
          <w:rFonts w:asciiTheme="minorHAnsi" w:hAnsiTheme="minorHAnsi"/>
          <w:bCs/>
        </w:rPr>
      </w:pPr>
      <w:r>
        <w:rPr>
          <w:rFonts w:asciiTheme="minorHAnsi" w:hAnsiTheme="minorHAnsi"/>
          <w:bCs/>
        </w:rPr>
        <w:t>При наличии сведений о нахождении участника в стадии банкротства;</w:t>
      </w:r>
    </w:p>
    <w:p>
      <w:pPr>
        <w:pStyle w:val="ad"/>
        <w:keepLines/>
        <w:numPr>
          <w:ilvl w:val="0"/>
          <w:numId w:val="31"/>
        </w:numPr>
        <w:spacing w:after="120"/>
        <w:rPr>
          <w:rFonts w:asciiTheme="minorHAnsi" w:hAnsiTheme="minorHAnsi"/>
          <w:bCs/>
        </w:rPr>
      </w:pPr>
      <w:r>
        <w:rPr>
          <w:rFonts w:asciiTheme="minorHAnsi" w:hAnsiTheme="minorHAnsi"/>
          <w:bCs/>
        </w:rPr>
        <w:t>При наличии сведений о принятых регистрирующими органами решениях о предстоящем исключении недействующих юридических лиц из ЕГРЮЛ;</w:t>
      </w:r>
    </w:p>
    <w:p>
      <w:pPr>
        <w:pStyle w:val="ad"/>
        <w:keepLines/>
        <w:numPr>
          <w:ilvl w:val="0"/>
          <w:numId w:val="31"/>
        </w:numPr>
        <w:spacing w:after="120"/>
        <w:rPr>
          <w:rFonts w:asciiTheme="minorHAnsi" w:hAnsiTheme="minorHAnsi"/>
          <w:bCs/>
        </w:rPr>
      </w:pPr>
      <w:r>
        <w:rPr>
          <w:rFonts w:asciiTheme="minorHAnsi" w:hAnsiTheme="minorHAnsi"/>
          <w:bCs/>
        </w:rPr>
        <w:t>При наличии факта уклонения от заключения договора по итогам проведенной закупочной процедуры, просроченных неисполненных или ненадлежащим образом исполненных обязательств перед НПО «ЭЛСИБ» ПАО;</w:t>
      </w:r>
    </w:p>
    <w:p>
      <w:pPr>
        <w:pStyle w:val="ad"/>
        <w:keepLines/>
        <w:numPr>
          <w:ilvl w:val="0"/>
          <w:numId w:val="31"/>
        </w:numPr>
        <w:spacing w:after="120"/>
        <w:rPr>
          <w:rFonts w:asciiTheme="minorHAnsi" w:hAnsiTheme="minorHAnsi"/>
          <w:bCs/>
        </w:rPr>
      </w:pPr>
      <w:r>
        <w:rPr>
          <w:rFonts w:asciiTheme="minorHAnsi" w:hAnsiTheme="minorHAnsi"/>
          <w:bCs/>
        </w:rPr>
        <w:t>При наличии сведений о приостановлении деятельности участника в порядке, предусмотренном КоАП РФ;</w:t>
      </w:r>
    </w:p>
    <w:p>
      <w:pPr>
        <w:pStyle w:val="ad"/>
        <w:numPr>
          <w:ilvl w:val="0"/>
          <w:numId w:val="31"/>
        </w:numPr>
        <w:rPr>
          <w:rFonts w:asciiTheme="minorHAnsi" w:hAnsiTheme="minorHAnsi"/>
          <w:b/>
          <w:bCs/>
        </w:rPr>
      </w:pPr>
      <w:r>
        <w:rPr>
          <w:rFonts w:asciiTheme="minorHAnsi" w:hAnsiTheme="minorHAnsi"/>
          <w:b/>
          <w:bCs/>
        </w:rPr>
        <w:t>При непредставлении сканов следующих документов:</w:t>
      </w:r>
    </w:p>
    <w:p>
      <w:pPr>
        <w:pStyle w:val="ad"/>
        <w:keepLines/>
        <w:numPr>
          <w:ilvl w:val="0"/>
          <w:numId w:val="32"/>
        </w:numPr>
        <w:spacing w:after="120"/>
        <w:rPr>
          <w:rFonts w:asciiTheme="minorHAnsi" w:hAnsiTheme="minorHAnsi"/>
          <w:bCs/>
        </w:rPr>
      </w:pPr>
      <w:r>
        <w:rPr>
          <w:rFonts w:asciiTheme="minorHAnsi" w:hAnsiTheme="minorHAnsi"/>
          <w:bCs/>
        </w:rPr>
        <w:t>Оформленное надлежащим образом коммерческое предложение и/или иные предусмотренные документацией о закупке документы;</w:t>
      </w:r>
    </w:p>
    <w:p>
      <w:pPr>
        <w:pStyle w:val="ad"/>
        <w:keepLines/>
        <w:numPr>
          <w:ilvl w:val="0"/>
          <w:numId w:val="32"/>
        </w:numPr>
        <w:spacing w:after="120"/>
        <w:rPr>
          <w:rFonts w:asciiTheme="minorHAnsi" w:hAnsiTheme="minorHAnsi"/>
          <w:bCs/>
        </w:rPr>
      </w:pPr>
      <w:bookmarkStart w:id="12" w:name="documents_anketa"/>
      <w:r>
        <w:rPr>
          <w:rFonts w:asciiTheme="minorHAnsi" w:hAnsiTheme="minorHAnsi"/>
          <w:bCs/>
        </w:rPr>
        <w:t>Анкета участника (по форме приложения к документации);</w:t>
      </w:r>
      <w:bookmarkEnd w:id="12"/>
    </w:p>
    <w:p>
      <w:pPr>
        <w:pStyle w:val="ad"/>
        <w:keepLines/>
        <w:numPr>
          <w:ilvl w:val="0"/>
          <w:numId w:val="32"/>
        </w:numPr>
        <w:spacing w:after="120"/>
        <w:rPr>
          <w:rFonts w:asciiTheme="minorHAnsi" w:hAnsiTheme="minorHAnsi"/>
          <w:bCs/>
        </w:rPr>
      </w:pPr>
      <w:bookmarkStart w:id="13" w:name="documents_EIO_doverennost"/>
      <w:r>
        <w:rPr>
          <w:rFonts w:asciiTheme="minorHAnsi" w:hAnsiTheme="minorHAnsi"/>
          <w:bCs/>
        </w:rPr>
        <w:t>Доверенность, подтверждающая полномочия лица, подписавшего заявку (коммерческое предложение) от имени участника (в случае если заявка подписывается не ЕИО участника, не физическим лицом, зарегистрированным в качестве ИП), в случае если доверенность выдана от иностранного лица на иностранном языке, такая доверенность должна быть переведена на русский язык, и заверена нотариусом или должностным лицом консульского учреждения РФ или иным надлежащим образом в соответствии с правом страны участника</w:t>
      </w:r>
      <w:bookmarkEnd w:id="13"/>
      <w:r>
        <w:rPr>
          <w:rFonts w:asciiTheme="minorHAnsi" w:hAnsiTheme="minorHAnsi"/>
          <w:bCs/>
        </w:rPr>
        <w:t>.</w:t>
      </w:r>
    </w:p>
    <w:p>
      <w:pPr>
        <w:pStyle w:val="ad"/>
        <w:keepLines/>
        <w:numPr>
          <w:ilvl w:val="0"/>
          <w:numId w:val="30"/>
        </w:numPr>
        <w:spacing w:before="120"/>
        <w:rPr>
          <w:rFonts w:asciiTheme="minorHAnsi" w:hAnsiTheme="minorHAnsi"/>
          <w:b/>
        </w:rPr>
      </w:pPr>
      <w:r>
        <w:rPr>
          <w:rFonts w:asciiTheme="minorHAnsi" w:hAnsiTheme="minorHAnsi"/>
          <w:b/>
        </w:rPr>
        <w:t>Дополнительные требования</w:t>
      </w:r>
    </w:p>
    <w:p>
      <w:pPr>
        <w:keepLines/>
        <w:spacing w:before="120"/>
        <w:ind w:left="360"/>
        <w:rPr>
          <w:rFonts w:asciiTheme="minorHAnsi" w:hAnsiTheme="minorHAnsi"/>
        </w:rPr>
      </w:pPr>
      <w:r>
        <w:rPr>
          <w:rFonts w:asciiTheme="minorHAnsi" w:hAnsiTheme="minorHAnsi"/>
        </w:rPr>
        <w:t>Организатор процедуры вправе дополнительно запросить у участника предоставление правоустанавливающих и учредительных документов.</w:t>
      </w:r>
    </w:p>
    <w:p>
      <w:pPr>
        <w:keepLines/>
        <w:spacing w:after="120" w:line="276" w:lineRule="auto"/>
        <w:ind w:left="1418" w:hanging="709"/>
        <w:rPr>
          <w:rFonts w:asciiTheme="minorHAnsi" w:hAnsiTheme="minorHAnsi"/>
          <w:b/>
          <w:bCs/>
        </w:rPr>
      </w:pPr>
      <w:r>
        <w:rPr>
          <w:rFonts w:asciiTheme="minorHAnsi" w:hAnsiTheme="minorHAnsi"/>
          <w:b/>
          <w:bCs/>
        </w:rPr>
        <w:t>Российскими юридическими лицами:</w:t>
      </w:r>
    </w:p>
    <w:p>
      <w:pPr>
        <w:numPr>
          <w:ilvl w:val="0"/>
          <w:numId w:val="33"/>
        </w:numPr>
        <w:rPr>
          <w:rFonts w:asciiTheme="minorHAnsi" w:hAnsiTheme="minorHAnsi"/>
          <w:bCs/>
        </w:rPr>
      </w:pPr>
      <w:r>
        <w:rPr>
          <w:rFonts w:asciiTheme="minorHAnsi" w:hAnsiTheme="minorHAnsi"/>
          <w:bCs/>
        </w:rPr>
        <w:t>Устав;</w:t>
      </w:r>
    </w:p>
    <w:p>
      <w:pPr>
        <w:numPr>
          <w:ilvl w:val="0"/>
          <w:numId w:val="33"/>
        </w:numPr>
        <w:rPr>
          <w:rFonts w:asciiTheme="minorHAnsi" w:hAnsiTheme="minorHAnsi"/>
          <w:bCs/>
        </w:rPr>
      </w:pPr>
      <w:r>
        <w:rPr>
          <w:rFonts w:asciiTheme="minorHAnsi" w:hAnsiTheme="minorHAnsi"/>
          <w:bCs/>
        </w:rPr>
        <w:t>Свидетельство о постановке на налоговый учет;</w:t>
      </w:r>
    </w:p>
    <w:p>
      <w:pPr>
        <w:numPr>
          <w:ilvl w:val="0"/>
          <w:numId w:val="33"/>
        </w:numPr>
        <w:rPr>
          <w:rFonts w:asciiTheme="minorHAnsi" w:hAnsiTheme="minorHAnsi"/>
          <w:bCs/>
        </w:rPr>
      </w:pPr>
      <w:r>
        <w:rPr>
          <w:rFonts w:asciiTheme="minorHAnsi" w:hAnsiTheme="minorHAnsi"/>
          <w:bCs/>
        </w:rPr>
        <w:lastRenderedPageBreak/>
        <w:t>Свидетельство о государственной регистрации;</w:t>
      </w:r>
    </w:p>
    <w:p>
      <w:pPr>
        <w:numPr>
          <w:ilvl w:val="0"/>
          <w:numId w:val="33"/>
        </w:numPr>
        <w:rPr>
          <w:rFonts w:asciiTheme="minorHAnsi" w:hAnsiTheme="minorHAnsi"/>
          <w:bCs/>
        </w:rPr>
      </w:pPr>
      <w:r>
        <w:rPr>
          <w:rFonts w:asciiTheme="minorHAnsi" w:hAnsiTheme="minorHAnsi"/>
          <w:bCs/>
        </w:rPr>
        <w:t>Свидетельство о внесении записи в ЕГРЮЛ для юридических лиц, зарегистрированных до 01 июля 2002г.;</w:t>
      </w:r>
    </w:p>
    <w:p>
      <w:pPr>
        <w:numPr>
          <w:ilvl w:val="0"/>
          <w:numId w:val="33"/>
        </w:numPr>
        <w:rPr>
          <w:rFonts w:asciiTheme="minorHAnsi" w:hAnsiTheme="minorHAnsi"/>
          <w:bCs/>
        </w:rPr>
      </w:pPr>
      <w:r>
        <w:rPr>
          <w:rFonts w:asciiTheme="minorHAnsi" w:hAnsiTheme="minorHAnsi"/>
          <w:bCs/>
        </w:rPr>
        <w:t>Документ, подтверждающий полномочия лица, имеющего право действовать от имени участника без доверенности (решение о назначении ЕИО</w:t>
      </w:r>
      <w:r>
        <w:rPr>
          <w:rFonts w:asciiTheme="minorHAnsi" w:hAnsiTheme="minorHAnsi"/>
          <w:bCs/>
        </w:rPr>
        <w:footnoteReference w:id="1"/>
      </w:r>
      <w:r>
        <w:rPr>
          <w:rFonts w:asciiTheme="minorHAnsi" w:hAnsiTheme="minorHAnsi"/>
          <w:bCs/>
        </w:rPr>
        <w:t xml:space="preserve"> контрагента, решение о передаче функций ЕИО контрагента управляющей организации/управляющему, договор с управляющей организацией/управляющим);</w:t>
      </w:r>
    </w:p>
    <w:p>
      <w:pPr>
        <w:numPr>
          <w:ilvl w:val="0"/>
          <w:numId w:val="33"/>
        </w:numPr>
        <w:rPr>
          <w:rFonts w:asciiTheme="minorHAnsi" w:hAnsiTheme="minorHAnsi"/>
          <w:bCs/>
        </w:rPr>
      </w:pPr>
      <w:r>
        <w:rPr>
          <w:rFonts w:asciiTheme="minorHAnsi" w:hAnsiTheme="minorHAnsi"/>
          <w:bCs/>
        </w:rPr>
        <w:t>Решение уполномоченного органа участника об одобрении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участника).</w:t>
      </w:r>
    </w:p>
    <w:p>
      <w:pPr>
        <w:keepLines/>
        <w:spacing w:after="120" w:line="276" w:lineRule="auto"/>
        <w:ind w:left="1418" w:hanging="709"/>
        <w:rPr>
          <w:rFonts w:asciiTheme="minorHAnsi" w:hAnsiTheme="minorHAnsi"/>
          <w:b/>
          <w:bCs/>
          <w:sz w:val="20"/>
          <w:szCs w:val="20"/>
        </w:rPr>
      </w:pPr>
      <w:r>
        <w:rPr>
          <w:rFonts w:asciiTheme="minorHAnsi" w:hAnsiTheme="minorHAnsi"/>
          <w:b/>
          <w:bCs/>
          <w:sz w:val="20"/>
          <w:szCs w:val="20"/>
        </w:rPr>
        <w:t>Индивидуальными предпринимателями:</w:t>
      </w:r>
    </w:p>
    <w:p>
      <w:pPr>
        <w:numPr>
          <w:ilvl w:val="0"/>
          <w:numId w:val="34"/>
        </w:numPr>
        <w:rPr>
          <w:rFonts w:asciiTheme="minorHAnsi" w:hAnsiTheme="minorHAnsi"/>
          <w:bCs/>
          <w:sz w:val="20"/>
          <w:szCs w:val="20"/>
        </w:rPr>
      </w:pPr>
      <w:r>
        <w:rPr>
          <w:rFonts w:asciiTheme="minorHAnsi" w:hAnsiTheme="minorHAnsi"/>
          <w:bCs/>
          <w:sz w:val="20"/>
          <w:szCs w:val="20"/>
        </w:rPr>
        <w:t>Свидетельство о постановке на налоговый учет;</w:t>
      </w:r>
    </w:p>
    <w:p>
      <w:pPr>
        <w:numPr>
          <w:ilvl w:val="0"/>
          <w:numId w:val="34"/>
        </w:numPr>
        <w:rPr>
          <w:rFonts w:asciiTheme="minorHAnsi" w:hAnsiTheme="minorHAnsi"/>
          <w:bCs/>
          <w:sz w:val="20"/>
          <w:szCs w:val="20"/>
        </w:rPr>
      </w:pPr>
      <w:r>
        <w:rPr>
          <w:rFonts w:asciiTheme="minorHAnsi" w:hAnsiTheme="minorHAnsi"/>
          <w:bCs/>
          <w:sz w:val="20"/>
          <w:szCs w:val="20"/>
        </w:rPr>
        <w:t>Свидетельство о государственной регистрации физического лица в качестве индивидуального предпринимателя;</w:t>
      </w:r>
    </w:p>
    <w:p>
      <w:pPr>
        <w:numPr>
          <w:ilvl w:val="0"/>
          <w:numId w:val="34"/>
        </w:numPr>
        <w:rPr>
          <w:rFonts w:asciiTheme="minorHAnsi" w:hAnsiTheme="minorHAnsi"/>
          <w:bCs/>
          <w:sz w:val="20"/>
          <w:szCs w:val="20"/>
        </w:rPr>
      </w:pPr>
      <w:r>
        <w:rPr>
          <w:rFonts w:asciiTheme="minorHAnsi" w:hAnsiTheme="minorHAnsi"/>
          <w:bCs/>
          <w:sz w:val="20"/>
          <w:szCs w:val="20"/>
        </w:rPr>
        <w:t>Свидетельство о внесении записи в ЕГРИП для индивидуальных предпринимателей, зарегистрированных до 01 января 2004 г.;</w:t>
      </w:r>
    </w:p>
    <w:p>
      <w:pPr>
        <w:keepLines/>
        <w:spacing w:after="120" w:line="276" w:lineRule="auto"/>
        <w:ind w:left="1418" w:hanging="709"/>
        <w:rPr>
          <w:rFonts w:asciiTheme="minorHAnsi" w:hAnsiTheme="minorHAnsi"/>
          <w:b/>
          <w:bCs/>
          <w:sz w:val="20"/>
          <w:szCs w:val="20"/>
        </w:rPr>
      </w:pPr>
      <w:r>
        <w:rPr>
          <w:rFonts w:asciiTheme="minorHAnsi" w:hAnsiTheme="minorHAnsi"/>
          <w:b/>
          <w:bCs/>
          <w:sz w:val="20"/>
          <w:szCs w:val="20"/>
        </w:rPr>
        <w:t>Иностранными юридическими лицами:</w:t>
      </w:r>
    </w:p>
    <w:p>
      <w:pPr>
        <w:numPr>
          <w:ilvl w:val="0"/>
          <w:numId w:val="35"/>
        </w:numPr>
        <w:rPr>
          <w:rFonts w:asciiTheme="minorHAnsi" w:hAnsiTheme="minorHAnsi"/>
          <w:bCs/>
          <w:sz w:val="20"/>
          <w:szCs w:val="20"/>
        </w:rPr>
      </w:pPr>
      <w:r>
        <w:rPr>
          <w:rFonts w:asciiTheme="minorHAnsi" w:hAnsiTheme="minorHAnsi"/>
          <w:bCs/>
          <w:sz w:val="20"/>
          <w:szCs w:val="20"/>
        </w:rPr>
        <w:t>Свидетельство о постановке на налоговый учет на территории РФ, если юридическое лицо состоит на таком учете;</w:t>
      </w:r>
    </w:p>
    <w:p>
      <w:pPr>
        <w:numPr>
          <w:ilvl w:val="0"/>
          <w:numId w:val="35"/>
        </w:numPr>
        <w:rPr>
          <w:rFonts w:asciiTheme="minorHAnsi" w:hAnsiTheme="minorHAnsi"/>
          <w:bCs/>
          <w:sz w:val="20"/>
          <w:szCs w:val="20"/>
        </w:rPr>
      </w:pPr>
      <w:r>
        <w:rPr>
          <w:rFonts w:asciiTheme="minorHAnsi" w:hAnsiTheme="minorHAnsi"/>
          <w:bCs/>
          <w:sz w:val="20"/>
          <w:szCs w:val="20"/>
        </w:rPr>
        <w:t>Документ о регистрации юридического лица в соответствии с правом страны участника, переведенный на русский язык и заверенный нотариусом или должностным лицом консульского учреждения РФ или иным надлежащим образом в соответствии с правом страны участника;</w:t>
      </w:r>
    </w:p>
    <w:p>
      <w:pPr>
        <w:numPr>
          <w:ilvl w:val="0"/>
          <w:numId w:val="35"/>
        </w:numPr>
        <w:rPr>
          <w:rFonts w:asciiTheme="minorHAnsi" w:hAnsiTheme="minorHAnsi"/>
          <w:bCs/>
          <w:sz w:val="20"/>
          <w:szCs w:val="20"/>
        </w:rPr>
      </w:pPr>
      <w:r>
        <w:rPr>
          <w:rFonts w:asciiTheme="minorHAnsi" w:hAnsiTheme="minorHAnsi"/>
          <w:bCs/>
          <w:sz w:val="20"/>
          <w:szCs w:val="20"/>
        </w:rPr>
        <w:t>Документ, подтверждающий полномочия руководителя юридического лица, переведенный на русский язык и заверенный нотариусом или должностным лицом консульского учреждения РФ или иным надлежащим образом в соответствии с правом страны участника.</w:t>
      </w:r>
    </w:p>
    <w:p>
      <w:pPr>
        <w:pStyle w:val="ad"/>
        <w:keepLines/>
        <w:numPr>
          <w:ilvl w:val="0"/>
          <w:numId w:val="30"/>
        </w:numPr>
        <w:spacing w:before="120"/>
        <w:rPr>
          <w:rFonts w:asciiTheme="minorHAnsi" w:hAnsiTheme="minorHAnsi"/>
          <w:b/>
        </w:rPr>
      </w:pPr>
      <w:r>
        <w:rPr>
          <w:rFonts w:asciiTheme="minorHAnsi" w:hAnsiTheme="minorHAnsi"/>
          <w:b/>
        </w:rPr>
        <w:t>Порядок определения победителя и заключения договора</w:t>
      </w:r>
    </w:p>
    <w:p>
      <w:pPr>
        <w:keepLines/>
        <w:spacing w:after="120"/>
        <w:rPr>
          <w:rFonts w:asciiTheme="minorHAnsi" w:eastAsia="Times New Roman" w:hAnsiTheme="minorHAnsi"/>
          <w:bCs/>
          <w:lang w:eastAsia="ru-RU"/>
        </w:rPr>
      </w:pPr>
      <w:bookmarkStart w:id="14" w:name="_Ref114814082"/>
      <w:r>
        <w:rPr>
          <w:rFonts w:asciiTheme="minorHAnsi" w:eastAsia="Times New Roman" w:hAnsiTheme="minorHAnsi"/>
          <w:bCs/>
          <w:lang w:eastAsia="ru-RU"/>
        </w:rPr>
        <w:t>Заказчик в течение 3-7 дней после окончания процедуры приема заявок ранжирует (упорядочит, расставит по местам) все поступившие предложения в порядке убывания предпочтительности. При этом будут учитываться: Цена; Условия оплаты; Срок поставки.</w:t>
      </w:r>
    </w:p>
    <w:bookmarkEnd w:id="14"/>
    <w:p>
      <w:pPr>
        <w:keepLines/>
        <w:spacing w:after="120"/>
        <w:rPr>
          <w:rFonts w:asciiTheme="minorHAnsi" w:eastAsia="Times New Roman" w:hAnsiTheme="minorHAnsi"/>
          <w:bCs/>
          <w:lang w:eastAsia="ru-RU"/>
        </w:rPr>
      </w:pPr>
      <w:r>
        <w:rPr>
          <w:rFonts w:asciiTheme="minorHAnsi" w:eastAsia="Times New Roman" w:hAnsiTheme="minorHAnsi"/>
          <w:bCs/>
          <w:lang w:eastAsia="ru-RU"/>
        </w:rPr>
        <w:t xml:space="preserve">После того, как Заказчик проведет ранжирование предложений, будет составлен протокол, который будет основанием для заключения договора. В течение 3-х рабочих дней после подписания протокола Заказчик уведомит победителя о факте победы, о сроках и месте подписания Договора. </w:t>
      </w:r>
    </w:p>
    <w:p>
      <w:pPr>
        <w:keepLines/>
        <w:spacing w:after="120"/>
        <w:rPr>
          <w:rFonts w:asciiTheme="minorHAnsi" w:eastAsia="Times New Roman" w:hAnsiTheme="minorHAnsi"/>
          <w:bCs/>
          <w:lang w:eastAsia="ru-RU"/>
        </w:rPr>
      </w:pPr>
      <w:r>
        <w:rPr>
          <w:rFonts w:asciiTheme="minorHAnsi" w:eastAsia="Times New Roman" w:hAnsiTheme="minorHAnsi"/>
          <w:bCs/>
          <w:lang w:eastAsia="ru-RU"/>
        </w:rPr>
        <w:t>В случае нарушения Победителем условий, оговоренных в коммерческом предложении, его статус победителя признается недействительным.</w:t>
      </w:r>
    </w:p>
    <w:p>
      <w:pPr>
        <w:keepLines/>
        <w:spacing w:line="276" w:lineRule="auto"/>
        <w:rPr>
          <w:rFonts w:asciiTheme="minorHAnsi" w:eastAsia="Times New Roman" w:hAnsiTheme="minorHAnsi"/>
          <w:bCs/>
          <w:lang w:eastAsia="ru-RU"/>
        </w:rPr>
      </w:pPr>
      <w:r>
        <w:rPr>
          <w:rFonts w:asciiTheme="minorHAnsi" w:eastAsia="Times New Roman" w:hAnsiTheme="minorHAnsi"/>
          <w:bCs/>
          <w:lang w:eastAsia="ru-RU"/>
        </w:rPr>
        <w:t>Организатор вправе запросить у участника разъяснения содержания заявки на участие, предоставление недостающих документов необходимых для допуска участника к оценке заявок (при необходимости).</w:t>
      </w:r>
    </w:p>
    <w:p>
      <w:pPr>
        <w:keepNext/>
        <w:spacing w:before="240"/>
        <w:ind w:firstLine="357"/>
        <w:rPr>
          <w:rFonts w:asciiTheme="minorHAnsi" w:eastAsia="Times New Roman" w:hAnsiTheme="minorHAnsi"/>
          <w:b/>
          <w:bCs/>
          <w:lang w:eastAsia="ru-RU"/>
        </w:rPr>
      </w:pPr>
      <w:r>
        <w:rPr>
          <w:rFonts w:asciiTheme="minorHAnsi" w:eastAsia="Times New Roman" w:hAnsiTheme="minorHAnsi"/>
          <w:b/>
          <w:bCs/>
          <w:lang w:eastAsia="ru-RU"/>
        </w:rPr>
        <w:t>Приложения:</w:t>
      </w:r>
    </w:p>
    <w:p>
      <w:pPr>
        <w:keepLines/>
        <w:numPr>
          <w:ilvl w:val="0"/>
          <w:numId w:val="25"/>
        </w:numPr>
        <w:autoSpaceDE w:val="0"/>
        <w:autoSpaceDN w:val="0"/>
        <w:spacing w:before="60"/>
        <w:ind w:left="714" w:hanging="357"/>
        <w:jc w:val="left"/>
        <w:rPr>
          <w:rFonts w:asciiTheme="minorHAnsi" w:eastAsia="Times New Roman" w:hAnsiTheme="minorHAnsi"/>
          <w:szCs w:val="18"/>
          <w:lang w:eastAsia="ru-RU"/>
        </w:rPr>
      </w:pPr>
      <w:r>
        <w:rPr>
          <w:rFonts w:asciiTheme="minorHAnsi" w:eastAsia="Times New Roman" w:hAnsiTheme="minorHAnsi"/>
          <w:szCs w:val="18"/>
          <w:lang w:eastAsia="ru-RU"/>
        </w:rPr>
        <w:t>Шаблон коммерческого предложения.</w:t>
      </w:r>
    </w:p>
    <w:p>
      <w:pPr>
        <w:keepLines/>
        <w:numPr>
          <w:ilvl w:val="0"/>
          <w:numId w:val="25"/>
        </w:numPr>
        <w:autoSpaceDE w:val="0"/>
        <w:autoSpaceDN w:val="0"/>
        <w:spacing w:before="60"/>
        <w:ind w:left="714" w:hanging="357"/>
        <w:jc w:val="left"/>
        <w:rPr>
          <w:rFonts w:asciiTheme="minorHAnsi" w:eastAsia="Times New Roman" w:hAnsiTheme="minorHAnsi"/>
          <w:szCs w:val="18"/>
          <w:lang w:eastAsia="ru-RU"/>
        </w:rPr>
      </w:pPr>
      <w:r>
        <w:rPr>
          <w:rFonts w:asciiTheme="minorHAnsi" w:eastAsia="Times New Roman" w:hAnsiTheme="minorHAnsi"/>
          <w:szCs w:val="18"/>
          <w:lang w:eastAsia="ru-RU"/>
        </w:rPr>
        <w:t>Анкета участника.</w:t>
      </w:r>
    </w:p>
    <w:p>
      <w:pPr>
        <w:keepLines/>
        <w:numPr>
          <w:ilvl w:val="0"/>
          <w:numId w:val="25"/>
        </w:numPr>
        <w:autoSpaceDE w:val="0"/>
        <w:autoSpaceDN w:val="0"/>
        <w:spacing w:before="60"/>
        <w:ind w:left="714" w:hanging="357"/>
        <w:jc w:val="left"/>
        <w:rPr>
          <w:rFonts w:asciiTheme="minorHAnsi" w:eastAsia="Times New Roman" w:hAnsiTheme="minorHAnsi"/>
          <w:szCs w:val="18"/>
          <w:lang w:eastAsia="ru-RU"/>
        </w:rPr>
      </w:pPr>
      <w:r>
        <w:rPr>
          <w:rFonts w:asciiTheme="minorHAnsi" w:eastAsia="Times New Roman" w:hAnsiTheme="minorHAnsi"/>
          <w:szCs w:val="18"/>
          <w:lang w:eastAsia="ru-RU"/>
        </w:rPr>
        <w:t>Шаблон договора поставки.</w:t>
      </w:r>
    </w:p>
    <w:p>
      <w:pPr>
        <w:keepLines/>
        <w:numPr>
          <w:ilvl w:val="0"/>
          <w:numId w:val="25"/>
        </w:numPr>
        <w:autoSpaceDE w:val="0"/>
        <w:autoSpaceDN w:val="0"/>
        <w:spacing w:before="60"/>
        <w:ind w:left="714" w:hanging="357"/>
        <w:jc w:val="left"/>
        <w:rPr>
          <w:rFonts w:asciiTheme="minorHAnsi" w:eastAsia="Times New Roman" w:hAnsiTheme="minorHAnsi"/>
          <w:szCs w:val="18"/>
          <w:lang w:eastAsia="ru-RU"/>
        </w:rPr>
      </w:pPr>
      <w:bookmarkStart w:id="15" w:name="appendix"/>
      <w:r>
        <w:rPr>
          <w:rFonts w:asciiTheme="minorHAnsi" w:eastAsia="Times New Roman" w:hAnsiTheme="minorHAnsi"/>
          <w:szCs w:val="18"/>
          <w:lang w:eastAsia="ru-RU"/>
        </w:rPr>
        <w:t>Кодекс делового поведения Поставщика</w:t>
      </w:r>
      <w:bookmarkEnd w:id="15"/>
      <w:r>
        <w:rPr>
          <w:rFonts w:asciiTheme="minorHAnsi" w:eastAsia="Times New Roman" w:hAnsiTheme="minorHAnsi"/>
          <w:szCs w:val="18"/>
          <w:lang w:eastAsia="ru-RU"/>
        </w:rPr>
        <w:t>.</w:t>
      </w:r>
    </w:p>
    <w:p>
      <w:pPr>
        <w:keepNext/>
        <w:rPr>
          <w:rFonts w:asciiTheme="minorHAnsi" w:eastAsia="Times New Roman" w:hAnsiTheme="minorHAnsi"/>
          <w:snapToGrid w:val="0"/>
          <w:sz w:val="20"/>
          <w:szCs w:val="20"/>
          <w:lang w:eastAsia="ru-RU"/>
        </w:rPr>
      </w:pPr>
    </w:p>
    <w:p>
      <w:pPr>
        <w:keepNext/>
        <w:rPr>
          <w:rFonts w:asciiTheme="minorHAnsi" w:eastAsia="Times New Roman" w:hAnsiTheme="minorHAnsi"/>
          <w:snapToGrid w:val="0"/>
          <w:sz w:val="24"/>
          <w:szCs w:val="24"/>
          <w:lang w:eastAsia="ru-RU"/>
        </w:rPr>
      </w:pPr>
      <w:r>
        <w:rPr>
          <w:rFonts w:asciiTheme="minorHAnsi" w:eastAsia="Times New Roman" w:hAnsiTheme="minorHAnsi"/>
          <w:snapToGrid w:val="0"/>
          <w:sz w:val="24"/>
          <w:szCs w:val="24"/>
          <w:lang w:eastAsia="ru-RU"/>
        </w:rPr>
        <w:t xml:space="preserve">  </w:t>
      </w:r>
      <w:r>
        <w:rPr>
          <w:rFonts w:asciiTheme="minorHAnsi" w:eastAsia="Times New Roman" w:hAnsiTheme="minorHAnsi"/>
          <w:snapToGrid w:val="0"/>
          <w:sz w:val="24"/>
          <w:szCs w:val="24"/>
          <w:lang w:val="en-US" w:eastAsia="ru-RU"/>
        </w:rPr>
        <w:t>C</w:t>
      </w:r>
      <w:r>
        <w:rPr>
          <w:rFonts w:asciiTheme="minorHAnsi" w:eastAsia="Times New Roman" w:hAnsiTheme="minorHAnsi"/>
          <w:snapToGrid w:val="0"/>
          <w:sz w:val="24"/>
          <w:szCs w:val="24"/>
          <w:lang w:eastAsia="ru-RU"/>
        </w:rPr>
        <w:t xml:space="preserve"> уважением, </w:t>
      </w:r>
    </w:p>
    <w:tbl>
      <w:tblPr>
        <w:tblW w:w="0" w:type="dxa"/>
        <w:tblLayout w:type="fixed"/>
        <w:tblLook w:val="01E0" w:firstRow="1" w:lastRow="1" w:firstColumn="1" w:lastColumn="1" w:noHBand="0" w:noVBand="0"/>
      </w:tblPr>
      <w:tblGrid>
        <w:gridCol w:w="6398"/>
        <w:gridCol w:w="2970"/>
      </w:tblGrid>
      <w:tr>
        <w:trPr>
          <w:trHeight w:val="600"/>
        </w:trPr>
        <w:tc>
          <w:tcPr>
            <w:tcW w:w="6398" w:type="dxa"/>
            <w:hideMark/>
          </w:tcPr>
          <w:p>
            <w:pPr>
              <w:ind w:right="494"/>
              <w:rPr>
                <w:rFonts w:asciiTheme="minorHAnsi" w:eastAsia="Times New Roman" w:hAnsiTheme="minorHAnsi"/>
                <w:snapToGrid w:val="0"/>
                <w:sz w:val="24"/>
                <w:szCs w:val="24"/>
                <w:lang w:eastAsia="ru-RU"/>
              </w:rPr>
            </w:pPr>
            <w:r>
              <w:rPr>
                <w:rFonts w:asciiTheme="minorHAnsi" w:eastAsia="Times New Roman" w:hAnsiTheme="minorHAnsi"/>
                <w:snapToGrid w:val="0"/>
                <w:sz w:val="24"/>
                <w:szCs w:val="24"/>
                <w:lang w:eastAsia="ru-RU"/>
              </w:rPr>
              <w:t>Зам. начальника отдела ОТМЦ</w:t>
            </w:r>
          </w:p>
        </w:tc>
        <w:tc>
          <w:tcPr>
            <w:tcW w:w="2970" w:type="dxa"/>
            <w:hideMark/>
          </w:tcPr>
          <w:p>
            <w:pPr>
              <w:ind w:firstLine="567"/>
              <w:rPr>
                <w:rFonts w:asciiTheme="minorHAnsi" w:eastAsia="Times New Roman" w:hAnsiTheme="minorHAnsi"/>
                <w:snapToGrid w:val="0"/>
                <w:sz w:val="24"/>
                <w:szCs w:val="24"/>
                <w:lang w:eastAsia="ru-RU"/>
              </w:rPr>
            </w:pPr>
            <w:r>
              <w:rPr>
                <w:rFonts w:asciiTheme="minorHAnsi" w:eastAsia="Times New Roman" w:hAnsiTheme="minorHAnsi"/>
                <w:snapToGrid w:val="0"/>
                <w:sz w:val="24"/>
                <w:szCs w:val="24"/>
                <w:lang w:eastAsia="ru-RU"/>
              </w:rPr>
              <w:t>Ю.В. Манакова</w:t>
            </w:r>
            <w:bookmarkStart w:id="16" w:name="_GoBack"/>
            <w:bookmarkEnd w:id="16"/>
          </w:p>
        </w:tc>
      </w:tr>
    </w:tbl>
    <w:p>
      <w:pPr>
        <w:pStyle w:val="-2"/>
        <w:tabs>
          <w:tab w:val="clear" w:pos="1134"/>
        </w:tabs>
        <w:ind w:left="0" w:firstLine="0"/>
        <w:jc w:val="center"/>
        <w:rPr>
          <w:rFonts w:asciiTheme="minorHAnsi" w:hAnsiTheme="minorHAnsi"/>
          <w:b/>
          <w:sz w:val="28"/>
          <w:szCs w:val="28"/>
        </w:rPr>
      </w:pPr>
    </w:p>
    <w:sectPr>
      <w:footerReference w:type="default" r:id="rId10"/>
      <w:headerReference w:type="first" r:id="rId11"/>
      <w:pgSz w:w="11906" w:h="16838" w:code="9"/>
      <w:pgMar w:top="1418" w:right="709" w:bottom="567" w:left="1418" w:header="56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8"/>
      <w:pBdr>
        <w:top w:val="single" w:sz="4" w:space="1" w:color="auto"/>
      </w:pBdr>
      <w:tabs>
        <w:tab w:val="clear" w:pos="9355"/>
        <w:tab w:val="right" w:pos="9540"/>
      </w:tabs>
      <w:ind w:right="360"/>
      <w:rPr>
        <w:rFonts w:asciiTheme="minorHAnsi" w:hAnsiTheme="minorHAnsi"/>
        <w:u w:val="single"/>
      </w:rPr>
    </w:pPr>
    <w:r>
      <w:rPr>
        <w:rFonts w:asciiTheme="minorHAnsi" w:hAnsiTheme="minorHAnsi"/>
      </w:rPr>
      <w:t xml:space="preserve">ПЗ №282 от 25.04.2024 г. </w:t>
    </w:r>
    <w:r>
      <w:rPr>
        <w:rFonts w:asciiTheme="minorHAnsi" w:hAnsiTheme="minorHAnsi"/>
      </w:rPr>
      <w:tab/>
      <w:t xml:space="preserve"> </w:t>
    </w:r>
  </w:p>
  <w:p>
    <w:pPr>
      <w:pStyle w:val="a8"/>
      <w:rPr>
        <w:rFonts w:asciiTheme="minorHAnsi" w:hAnsiTheme="minorHAnsi"/>
      </w:rPr>
    </w:pPr>
    <w:r>
      <w:rPr>
        <w:rFonts w:asciiTheme="minorHAnsi" w:hAnsiTheme="minorHAnsi"/>
      </w:rPr>
      <w:t>Сталь калиброванная</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 w:id="1">
    <w:p>
      <w:pPr>
        <w:pStyle w:val="af5"/>
        <w:rPr>
          <w:rFonts w:ascii="Times New Roman" w:hAnsi="Times New Roman"/>
        </w:rPr>
      </w:pPr>
      <w:r>
        <w:rPr>
          <w:rStyle w:val="af9"/>
          <w:rFonts w:ascii="Times New Roman" w:hAnsi="Times New Roman"/>
        </w:rPr>
        <w:footnoteRef/>
      </w:r>
      <w:r>
        <w:rPr>
          <w:rFonts w:ascii="Times New Roman" w:hAnsi="Times New Roman"/>
        </w:rPr>
        <w:t xml:space="preserve"> Единоличный исполнительный орган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6"/>
      <w:jc w:val="left"/>
    </w:pPr>
    <w:r>
      <w:rPr>
        <w:noProof/>
        <w:lang w:eastAsia="ru-RU"/>
      </w:rPr>
      <w:drawing>
        <wp:anchor distT="0" distB="0" distL="114300" distR="114300" simplePos="0" relativeHeight="251658240" behindDoc="0" locked="0" layoutInCell="1" allowOverlap="1">
          <wp:simplePos x="0" y="0"/>
          <wp:positionH relativeFrom="column">
            <wp:posOffset>2938145</wp:posOffset>
          </wp:positionH>
          <wp:positionV relativeFrom="paragraph">
            <wp:posOffset>141605</wp:posOffset>
          </wp:positionV>
          <wp:extent cx="3261360" cy="609600"/>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61360" cy="609600"/>
                  </a:xfrm>
                  <a:prstGeom prst="rect">
                    <a:avLst/>
                  </a:prstGeom>
                  <a:noFill/>
                </pic:spPr>
              </pic:pic>
            </a:graphicData>
          </a:graphic>
        </wp:anchor>
      </w:drawing>
    </w:r>
    <w:r>
      <w:rPr>
        <w:noProof/>
        <w:lang w:eastAsia="ru-RU"/>
      </w:rPr>
      <w:drawing>
        <wp:inline distT="0" distB="0" distL="0" distR="0">
          <wp:extent cx="6248400" cy="90233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a:extLst>
                      <a:ext uri="{28A0092B-C50C-407E-A947-70E740481C1C}">
                        <a14:useLocalDpi xmlns:a14="http://schemas.microsoft.com/office/drawing/2010/main" val="0"/>
                      </a:ext>
                    </a:extLst>
                  </a:blip>
                  <a:srcRect r="6313"/>
                  <a:stretch/>
                </pic:blipFill>
                <pic:spPr bwMode="auto">
                  <a:xfrm>
                    <a:off x="0" y="0"/>
                    <a:ext cx="6248400" cy="90233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94616"/>
    <w:multiLevelType w:val="hybridMultilevel"/>
    <w:tmpl w:val="36501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261407"/>
    <w:multiLevelType w:val="hybridMultilevel"/>
    <w:tmpl w:val="0CC8C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273913"/>
    <w:multiLevelType w:val="hybridMultilevel"/>
    <w:tmpl w:val="A5B24E1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2945C1E"/>
    <w:multiLevelType w:val="hybridMultilevel"/>
    <w:tmpl w:val="6E483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EC7C48"/>
    <w:multiLevelType w:val="hybridMultilevel"/>
    <w:tmpl w:val="73588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01197D"/>
    <w:multiLevelType w:val="hybridMultilevel"/>
    <w:tmpl w:val="1B92F2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8A545F"/>
    <w:multiLevelType w:val="hybridMultilevel"/>
    <w:tmpl w:val="EE5C00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E27674"/>
    <w:multiLevelType w:val="hybridMultilevel"/>
    <w:tmpl w:val="3F0E86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2306FC"/>
    <w:multiLevelType w:val="hybridMultilevel"/>
    <w:tmpl w:val="2F682A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4B03DC"/>
    <w:multiLevelType w:val="hybridMultilevel"/>
    <w:tmpl w:val="A85696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81636A"/>
    <w:multiLevelType w:val="hybridMultilevel"/>
    <w:tmpl w:val="44BA0E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6A5FCE"/>
    <w:multiLevelType w:val="multilevel"/>
    <w:tmpl w:val="1BBE98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lowerLetter"/>
      <w:lvlText w:val="%4)"/>
      <w:lvlJc w:val="left"/>
      <w:pPr>
        <w:tabs>
          <w:tab w:val="num" w:pos="1134"/>
        </w:tabs>
        <w:ind w:left="1134" w:hanging="567"/>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436C3599"/>
    <w:multiLevelType w:val="hybridMultilevel"/>
    <w:tmpl w:val="EADA5362"/>
    <w:lvl w:ilvl="0" w:tplc="BCE4F1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48E251DE"/>
    <w:multiLevelType w:val="hybridMultilevel"/>
    <w:tmpl w:val="DBF267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8AB3DDB"/>
    <w:multiLevelType w:val="hybridMultilevel"/>
    <w:tmpl w:val="737E2A6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690A6B8B"/>
    <w:multiLevelType w:val="hybridMultilevel"/>
    <w:tmpl w:val="0EA2AC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6B0033EA"/>
    <w:multiLevelType w:val="hybridMultilevel"/>
    <w:tmpl w:val="989C1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9446646"/>
    <w:multiLevelType w:val="hybridMultilevel"/>
    <w:tmpl w:val="B7F81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5"/>
  </w:num>
  <w:num w:numId="4">
    <w:abstractNumId w:val="13"/>
  </w:num>
  <w:num w:numId="5">
    <w:abstractNumId w:val="1"/>
  </w:num>
  <w:num w:numId="6">
    <w:abstractNumId w:val="9"/>
  </w:num>
  <w:num w:numId="7">
    <w:abstractNumId w:val="14"/>
  </w:num>
  <w:num w:numId="8">
    <w:abstractNumId w:val="18"/>
  </w:num>
  <w:num w:numId="9">
    <w:abstractNumId w:val="7"/>
  </w:num>
  <w:num w:numId="10">
    <w:abstractNumId w:val="10"/>
  </w:num>
  <w:num w:numId="11">
    <w:abstractNumId w:val="11"/>
  </w:num>
  <w:num w:numId="12">
    <w:abstractNumId w:val="8"/>
  </w:num>
  <w:num w:numId="13">
    <w:abstractNumId w:val="3"/>
  </w:num>
  <w:num w:numId="14">
    <w:abstractNumId w:val="5"/>
  </w:num>
  <w:num w:numId="15">
    <w:abstractNumId w:val="12"/>
  </w:num>
  <w:num w:numId="16">
    <w:abstractNumId w:val="17"/>
  </w:num>
  <w:num w:numId="17">
    <w:abstractNumId w:val="6"/>
  </w:num>
  <w:num w:numId="18">
    <w:abstractNumId w:val="2"/>
  </w:num>
  <w:num w:numId="19">
    <w:abstractNumId w:val="16"/>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4"/>
  </w:num>
  <w:num w:numId="23">
    <w:abstractNumId w:val="7"/>
  </w:num>
  <w:num w:numId="24">
    <w:abstractNumId w:val="10"/>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4"/>
  </w:num>
  <w:num w:numId="28">
    <w:abstractNumId w:val="7"/>
  </w:num>
  <w:num w:numId="29">
    <w:abstractNumId w:val="10"/>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8"/>
  </w:num>
  <w:num w:numId="34">
    <w:abstractNumId w:val="3"/>
  </w:num>
  <w:num w:numId="35">
    <w:abstractNumId w:val="5"/>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regrouptable v:ext="edit">
        <o:entry new="1" old="0"/>
      </o:regrouptable>
    </o:shapelayout>
  </w:shapeDefaults>
  <w:decimalSymbol w:val=","/>
  <w:listSeparator w:val=";"/>
  <w15:docId w15:val="{CC77974B-7839-471F-A3A9-12D3A064D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2"/>
      <w:szCs w:val="22"/>
      <w:lang w:eastAsia="en-US"/>
    </w:rPr>
  </w:style>
  <w:style w:type="paragraph" w:styleId="1">
    <w:name w:val="heading 1"/>
    <w:basedOn w:val="a"/>
    <w:next w:val="a"/>
    <w:link w:val="10"/>
    <w:qFormat/>
    <w:pPr>
      <w:keepNext/>
      <w:ind w:right="141"/>
      <w:jc w:val="center"/>
      <w:outlineLvl w:val="0"/>
    </w:pPr>
    <w:rPr>
      <w:rFonts w:ascii="Times New Roman" w:eastAsia="Times New Roman" w:hAnsi="Times New Roman"/>
      <w:sz w:val="24"/>
      <w:szCs w:val="20"/>
      <w:lang w:eastAsia="ru-RU"/>
    </w:rPr>
  </w:style>
  <w:style w:type="paragraph" w:styleId="2">
    <w:name w:val="heading 2"/>
    <w:basedOn w:val="a"/>
    <w:next w:val="a"/>
    <w:link w:val="20"/>
    <w:qFormat/>
    <w:pPr>
      <w:keepNext/>
      <w:tabs>
        <w:tab w:val="num" w:pos="1134"/>
      </w:tabs>
      <w:suppressAutoHyphens/>
      <w:spacing w:before="360" w:after="120"/>
      <w:ind w:left="1134" w:hanging="1134"/>
      <w:jc w:val="left"/>
      <w:outlineLvl w:val="1"/>
    </w:pPr>
    <w:rPr>
      <w:rFonts w:ascii="Arial" w:eastAsia="Times New Roman" w:hAnsi="Arial"/>
      <w:b/>
      <w:snapToGrid w:val="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Pr>
      <w:rFonts w:ascii="Tahoma" w:hAnsi="Tahoma" w:cs="Tahoma"/>
      <w:sz w:val="16"/>
      <w:szCs w:val="16"/>
    </w:rPr>
  </w:style>
  <w:style w:type="character" w:customStyle="1" w:styleId="a5">
    <w:name w:val="Текст выноски Знак"/>
    <w:basedOn w:val="a0"/>
    <w:link w:val="a4"/>
    <w:uiPriority w:val="99"/>
    <w:semiHidden/>
    <w:rPr>
      <w:rFonts w:ascii="Tahoma" w:hAnsi="Tahoma" w:cs="Tahoma"/>
      <w:sz w:val="16"/>
      <w:szCs w:val="16"/>
      <w:lang w:eastAsia="en-US"/>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sz w:val="22"/>
      <w:szCs w:val="22"/>
      <w:lang w:eastAsia="en-US"/>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sz w:val="22"/>
      <w:szCs w:val="22"/>
      <w:lang w:eastAsia="en-US"/>
    </w:rPr>
  </w:style>
  <w:style w:type="character" w:customStyle="1" w:styleId="10">
    <w:name w:val="Заголовок 1 Знак"/>
    <w:basedOn w:val="a0"/>
    <w:link w:val="1"/>
    <w:rPr>
      <w:rFonts w:ascii="Times New Roman" w:eastAsia="Times New Roman" w:hAnsi="Times New Roman"/>
      <w:sz w:val="24"/>
    </w:rPr>
  </w:style>
  <w:style w:type="character" w:styleId="aa">
    <w:name w:val="Hyperlink"/>
    <w:uiPriority w:val="99"/>
    <w:unhideWhenUsed/>
    <w:rPr>
      <w:color w:val="0000FF"/>
      <w:u w:val="single"/>
    </w:rPr>
  </w:style>
  <w:style w:type="paragraph" w:styleId="ab">
    <w:name w:val="Plain Text"/>
    <w:basedOn w:val="a"/>
    <w:link w:val="ac"/>
    <w:uiPriority w:val="99"/>
    <w:unhideWhenUsed/>
    <w:pPr>
      <w:jc w:val="left"/>
    </w:pPr>
    <w:rPr>
      <w:rFonts w:ascii="Consolas" w:hAnsi="Consolas"/>
      <w:sz w:val="21"/>
      <w:szCs w:val="21"/>
    </w:rPr>
  </w:style>
  <w:style w:type="character" w:customStyle="1" w:styleId="ac">
    <w:name w:val="Текст Знак"/>
    <w:basedOn w:val="a0"/>
    <w:link w:val="ab"/>
    <w:uiPriority w:val="99"/>
    <w:rPr>
      <w:rFonts w:ascii="Consolas" w:hAnsi="Consolas"/>
      <w:sz w:val="21"/>
      <w:szCs w:val="21"/>
      <w:lang w:eastAsia="en-US"/>
    </w:rPr>
  </w:style>
  <w:style w:type="paragraph" w:styleId="ad">
    <w:name w:val="List Paragraph"/>
    <w:basedOn w:val="a"/>
    <w:uiPriority w:val="34"/>
    <w:qFormat/>
    <w:pPr>
      <w:spacing w:after="200" w:line="276" w:lineRule="auto"/>
      <w:ind w:left="720"/>
      <w:contextualSpacing/>
      <w:jc w:val="left"/>
    </w:pPr>
  </w:style>
  <w:style w:type="paragraph" w:styleId="ae">
    <w:name w:val="Body Text Indent"/>
    <w:basedOn w:val="a"/>
    <w:link w:val="af"/>
    <w:pPr>
      <w:spacing w:after="120"/>
      <w:ind w:left="283"/>
      <w:jc w:val="left"/>
    </w:pPr>
    <w:rPr>
      <w:rFonts w:ascii="Times New Roman" w:eastAsia="Times New Roman" w:hAnsi="Times New Roman"/>
      <w:sz w:val="20"/>
      <w:szCs w:val="20"/>
      <w:lang w:eastAsia="ru-RU"/>
    </w:rPr>
  </w:style>
  <w:style w:type="character" w:customStyle="1" w:styleId="af">
    <w:name w:val="Основной текст с отступом Знак"/>
    <w:basedOn w:val="a0"/>
    <w:link w:val="ae"/>
    <w:rPr>
      <w:rFonts w:ascii="Times New Roman" w:eastAsia="Times New Roman" w:hAnsi="Times New Roman"/>
    </w:rPr>
  </w:style>
  <w:style w:type="character" w:styleId="af0">
    <w:name w:val="annotation reference"/>
    <w:basedOn w:val="a0"/>
    <w:uiPriority w:val="99"/>
    <w:semiHidden/>
    <w:unhideWhenUsed/>
    <w:rPr>
      <w:sz w:val="16"/>
      <w:szCs w:val="16"/>
    </w:rPr>
  </w:style>
  <w:style w:type="paragraph" w:styleId="af1">
    <w:name w:val="annotation text"/>
    <w:basedOn w:val="a"/>
    <w:link w:val="af2"/>
    <w:uiPriority w:val="99"/>
    <w:semiHidden/>
    <w:unhideWhenUsed/>
    <w:rPr>
      <w:sz w:val="20"/>
      <w:szCs w:val="20"/>
    </w:rPr>
  </w:style>
  <w:style w:type="character" w:customStyle="1" w:styleId="af2">
    <w:name w:val="Текст примечания Знак"/>
    <w:basedOn w:val="a0"/>
    <w:link w:val="af1"/>
    <w:uiPriority w:val="99"/>
    <w:semiHidden/>
    <w:rPr>
      <w:lang w:eastAsia="en-US"/>
    </w:rPr>
  </w:style>
  <w:style w:type="paragraph" w:styleId="af3">
    <w:name w:val="annotation subject"/>
    <w:basedOn w:val="af1"/>
    <w:next w:val="af1"/>
    <w:link w:val="af4"/>
    <w:uiPriority w:val="99"/>
    <w:semiHidden/>
    <w:unhideWhenUsed/>
    <w:rPr>
      <w:b/>
      <w:bCs/>
    </w:rPr>
  </w:style>
  <w:style w:type="character" w:customStyle="1" w:styleId="af4">
    <w:name w:val="Тема примечания Знак"/>
    <w:basedOn w:val="af2"/>
    <w:link w:val="af3"/>
    <w:uiPriority w:val="99"/>
    <w:semiHidden/>
    <w:rPr>
      <w:b/>
      <w:bCs/>
      <w:lang w:eastAsia="en-US"/>
    </w:rPr>
  </w:style>
  <w:style w:type="paragraph" w:styleId="af5">
    <w:name w:val="footnote text"/>
    <w:basedOn w:val="a"/>
    <w:link w:val="af6"/>
    <w:uiPriority w:val="99"/>
    <w:semiHidden/>
    <w:unhideWhenUsed/>
    <w:rPr>
      <w:sz w:val="20"/>
      <w:szCs w:val="20"/>
    </w:rPr>
  </w:style>
  <w:style w:type="character" w:customStyle="1" w:styleId="af6">
    <w:name w:val="Текст сноски Знак"/>
    <w:basedOn w:val="a0"/>
    <w:link w:val="af5"/>
    <w:uiPriority w:val="99"/>
    <w:semiHidden/>
    <w:rPr>
      <w:lang w:eastAsia="en-US"/>
    </w:rPr>
  </w:style>
  <w:style w:type="character" w:customStyle="1" w:styleId="20">
    <w:name w:val="Заголовок 2 Знак"/>
    <w:basedOn w:val="a0"/>
    <w:link w:val="2"/>
    <w:rPr>
      <w:rFonts w:ascii="Arial" w:eastAsia="Times New Roman" w:hAnsi="Arial"/>
      <w:b/>
      <w:snapToGrid w:val="0"/>
      <w:sz w:val="24"/>
    </w:rPr>
  </w:style>
  <w:style w:type="character" w:customStyle="1" w:styleId="af7">
    <w:name w:val="комментарий"/>
    <w:rPr>
      <w:rFonts w:ascii="Arial" w:hAnsi="Arial"/>
      <w:b/>
      <w:i/>
      <w:sz w:val="20"/>
      <w:shd w:val="clear" w:color="auto" w:fill="FFFF99"/>
    </w:rPr>
  </w:style>
  <w:style w:type="paragraph" w:customStyle="1" w:styleId="-2">
    <w:name w:val="Пункт-2"/>
    <w:basedOn w:val="a"/>
    <w:pPr>
      <w:tabs>
        <w:tab w:val="num" w:pos="1134"/>
      </w:tabs>
      <w:ind w:left="1134" w:hanging="1134"/>
    </w:pPr>
    <w:rPr>
      <w:rFonts w:ascii="Arial" w:eastAsia="Times New Roman" w:hAnsi="Arial"/>
      <w:snapToGrid w:val="0"/>
      <w:sz w:val="20"/>
      <w:szCs w:val="20"/>
      <w:lang w:eastAsia="ru-RU"/>
    </w:rPr>
  </w:style>
  <w:style w:type="paragraph" w:styleId="af8">
    <w:name w:val="List Number"/>
    <w:basedOn w:val="a"/>
    <w:pPr>
      <w:autoSpaceDE w:val="0"/>
      <w:autoSpaceDN w:val="0"/>
      <w:spacing w:before="60"/>
    </w:pPr>
    <w:rPr>
      <w:rFonts w:ascii="Arial" w:eastAsia="Times New Roman" w:hAnsi="Arial"/>
      <w:sz w:val="20"/>
      <w:szCs w:val="24"/>
      <w:lang w:eastAsia="ru-RU"/>
    </w:rPr>
  </w:style>
  <w:style w:type="character" w:styleId="af9">
    <w:name w:val="footnote reference"/>
    <w:uiPriority w:val="99"/>
    <w:semiHidden/>
    <w:unhideWhenUsed/>
    <w:rPr>
      <w:vertAlign w:val="superscript"/>
    </w:rPr>
  </w:style>
  <w:style w:type="paragraph" w:customStyle="1" w:styleId="afa">
    <w:name w:val="Раздел"/>
    <w:basedOn w:val="a"/>
    <w:pPr>
      <w:keepNext/>
      <w:tabs>
        <w:tab w:val="num" w:pos="567"/>
      </w:tabs>
      <w:spacing w:before="360" w:after="120"/>
      <w:ind w:left="567" w:hanging="567"/>
    </w:pPr>
    <w:rPr>
      <w:rFonts w:ascii="Arial" w:eastAsia="Times New Roman" w:hAnsi="Arial"/>
      <w:b/>
      <w:caps/>
      <w:snapToGrid w:val="0"/>
      <w:sz w:val="24"/>
      <w:szCs w:val="20"/>
      <w:lang w:eastAsia="ru-RU"/>
    </w:rPr>
  </w:style>
  <w:style w:type="paragraph" w:customStyle="1" w:styleId="-3">
    <w:name w:val="Пункт-3"/>
    <w:basedOn w:val="a"/>
    <w:pPr>
      <w:tabs>
        <w:tab w:val="num" w:pos="567"/>
      </w:tabs>
      <w:ind w:left="567" w:hanging="567"/>
    </w:pPr>
    <w:rPr>
      <w:rFonts w:ascii="Arial" w:eastAsia="Times New Roman" w:hAnsi="Arial"/>
      <w:snapToGrid w:val="0"/>
      <w:sz w:val="20"/>
      <w:szCs w:val="20"/>
      <w:lang w:eastAsia="ru-RU"/>
    </w:rPr>
  </w:style>
  <w:style w:type="paragraph" w:customStyle="1" w:styleId="-4">
    <w:name w:val="Пункт-4"/>
    <w:basedOn w:val="a"/>
    <w:pPr>
      <w:tabs>
        <w:tab w:val="num" w:pos="1134"/>
      </w:tabs>
      <w:ind w:left="1134" w:hanging="567"/>
    </w:pPr>
    <w:rPr>
      <w:rFonts w:ascii="Arial" w:eastAsia="Times New Roman" w:hAnsi="Arial"/>
      <w:snapToGrid w:val="0"/>
      <w:sz w:val="20"/>
      <w:szCs w:val="20"/>
      <w:lang w:eastAsia="ru-RU"/>
    </w:rPr>
  </w:style>
  <w:style w:type="paragraph" w:styleId="afb">
    <w:name w:val="No Spacing"/>
    <w:uiPriority w:val="1"/>
    <w:qFormat/>
    <w:pPr>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365499">
      <w:bodyDiv w:val="1"/>
      <w:marLeft w:val="0"/>
      <w:marRight w:val="0"/>
      <w:marTop w:val="0"/>
      <w:marBottom w:val="0"/>
      <w:divBdr>
        <w:top w:val="none" w:sz="0" w:space="0" w:color="auto"/>
        <w:left w:val="none" w:sz="0" w:space="0" w:color="auto"/>
        <w:bottom w:val="none" w:sz="0" w:space="0" w:color="auto"/>
        <w:right w:val="none" w:sz="0" w:space="0" w:color="auto"/>
      </w:divBdr>
    </w:div>
    <w:div w:id="626005464">
      <w:bodyDiv w:val="1"/>
      <w:marLeft w:val="0"/>
      <w:marRight w:val="0"/>
      <w:marTop w:val="0"/>
      <w:marBottom w:val="0"/>
      <w:divBdr>
        <w:top w:val="none" w:sz="0" w:space="0" w:color="auto"/>
        <w:left w:val="none" w:sz="0" w:space="0" w:color="auto"/>
        <w:bottom w:val="none" w:sz="0" w:space="0" w:color="auto"/>
        <w:right w:val="none" w:sz="0" w:space="0" w:color="auto"/>
      </w:divBdr>
    </w:div>
    <w:div w:id="1352683279">
      <w:bodyDiv w:val="1"/>
      <w:marLeft w:val="0"/>
      <w:marRight w:val="0"/>
      <w:marTop w:val="0"/>
      <w:marBottom w:val="0"/>
      <w:divBdr>
        <w:top w:val="none" w:sz="0" w:space="0" w:color="auto"/>
        <w:left w:val="none" w:sz="0" w:space="0" w:color="auto"/>
        <w:bottom w:val="none" w:sz="0" w:space="0" w:color="auto"/>
        <w:right w:val="none" w:sz="0" w:space="0" w:color="auto"/>
      </w:divBdr>
    </w:div>
    <w:div w:id="183691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sib.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szo.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akupki.gov.ru/epz/dishonestsupplier/quicksearch/search.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330</TotalTime>
  <Pages>5</Pages>
  <Words>1689</Words>
  <Characters>9633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Elsib</Company>
  <LinksUpToDate>false</LinksUpToDate>
  <CharactersWithSpaces>11300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Кириенко</dc:creator>
  <cp:lastModifiedBy>Стрекозина Инна Николаевна \ Inna Strekozina</cp:lastModifiedBy>
  <cp:revision>502</cp:revision>
  <cp:lastPrinted>2023-07-12T08:42:00Z</cp:lastPrinted>
  <dcterms:created xsi:type="dcterms:W3CDTF">2020-12-16T03:58:00Z</dcterms:created>
  <dcterms:modified xsi:type="dcterms:W3CDTF">2024-04-25T06:26:00Z</dcterms:modified>
</cp:coreProperties>
</file>